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0062B" w14:textId="77777777" w:rsidR="00BC5284" w:rsidRDefault="00BC5284">
      <w:pPr>
        <w:pStyle w:val="BasicParagraph"/>
      </w:pPr>
    </w:p>
    <w:p w14:paraId="3B094E9A" w14:textId="77777777" w:rsidR="00C51D6B" w:rsidRDefault="00BC5284" w:rsidP="00C51D6B">
      <w:pPr>
        <w:pStyle w:val="CaseStudyHeading1"/>
        <w:rPr>
          <w:color w:val="000000"/>
        </w:rPr>
      </w:pPr>
      <w:r>
        <w:rPr>
          <w:color w:val="000000"/>
        </w:rPr>
        <w:t>STATE OF HERITAGE REVIEW</w:t>
      </w:r>
      <w:r w:rsidR="00C51D6B">
        <w:rPr>
          <w:color w:val="000000"/>
        </w:rPr>
        <w:br/>
      </w:r>
      <w:r>
        <w:rPr>
          <w:rFonts w:ascii="FreightText Pro Bold" w:hAnsi="FreightText Pro Bold" w:cs="FreightText Pro Bold"/>
          <w:color w:val="000000"/>
          <w:spacing w:val="0"/>
          <w:sz w:val="60"/>
          <w:szCs w:val="60"/>
        </w:rPr>
        <w:t>Local Heritage</w:t>
      </w:r>
      <w:r w:rsidR="00C51D6B">
        <w:rPr>
          <w:rFonts w:ascii="FreightText Pro Bold" w:hAnsi="FreightText Pro Bold" w:cs="FreightText Pro Bold"/>
          <w:color w:val="000000"/>
          <w:spacing w:val="0"/>
          <w:sz w:val="60"/>
          <w:szCs w:val="60"/>
        </w:rPr>
        <w:t xml:space="preserve"> </w:t>
      </w:r>
      <w:r w:rsidR="00C51D6B">
        <w:rPr>
          <w:color w:val="000000"/>
        </w:rPr>
        <w:t>2020</w:t>
      </w:r>
    </w:p>
    <w:p w14:paraId="6F193F83" w14:textId="77777777" w:rsidR="00BC5284" w:rsidRDefault="00BC5284">
      <w:pPr>
        <w:pStyle w:val="CaseStudyHeading1"/>
        <w:rPr>
          <w:rFonts w:ascii="FreightText Pro Bold" w:hAnsi="FreightText Pro Bold" w:cs="FreightText Pro Bold"/>
          <w:color w:val="000000"/>
          <w:spacing w:val="0"/>
          <w:sz w:val="60"/>
          <w:szCs w:val="60"/>
        </w:rPr>
      </w:pPr>
    </w:p>
    <w:p w14:paraId="36A66F10" w14:textId="77777777" w:rsidR="00BC5284" w:rsidRDefault="00BC5284">
      <w:pPr>
        <w:pStyle w:val="HeadingSubtitle2"/>
        <w:rPr>
          <w:color w:val="000000"/>
        </w:rPr>
      </w:pPr>
      <w:r>
        <w:rPr>
          <w:color w:val="000000"/>
        </w:rPr>
        <w:t xml:space="preserve">Acknowledgement </w:t>
      </w:r>
    </w:p>
    <w:p w14:paraId="29FF9700" w14:textId="77777777" w:rsidR="00BC5284" w:rsidRDefault="00BC5284">
      <w:pPr>
        <w:pStyle w:val="Intropara"/>
        <w:rPr>
          <w:color w:val="000000"/>
        </w:rPr>
      </w:pPr>
      <w:r>
        <w:rPr>
          <w:color w:val="000000"/>
        </w:rPr>
        <w:t xml:space="preserve">As a peak Heritage body, we are proud to acknowledge Victorian Traditional Owners as the original custodians of Victoria’s land and waters, and to acknowledge the importance and significance of Aboriginal cultural heritage in Victoria. We honour Elders past and present whose knowledge and </w:t>
      </w:r>
      <w:r>
        <w:rPr>
          <w:color w:val="000000"/>
        </w:rPr>
        <w:br/>
        <w:t>wisdom has ensured the continuation of culture and traditional practices.</w:t>
      </w:r>
    </w:p>
    <w:p w14:paraId="4D509AD7" w14:textId="77777777" w:rsidR="00BC5284" w:rsidRDefault="00BC5284">
      <w:pPr>
        <w:pStyle w:val="Imprint"/>
      </w:pPr>
      <w:r>
        <w:t>Published by the Heritage Council of Victoria</w:t>
      </w:r>
    </w:p>
    <w:p w14:paraId="2850FAA8" w14:textId="77777777" w:rsidR="00BC5284" w:rsidRDefault="00BC5284">
      <w:pPr>
        <w:pStyle w:val="Imprint"/>
      </w:pPr>
      <w:r>
        <w:t>© State of Victoria. The Heritage Council of Victoria 2020</w:t>
      </w:r>
    </w:p>
    <w:p w14:paraId="45ACBC9F" w14:textId="77777777" w:rsidR="00BC5284" w:rsidRDefault="00BC5284">
      <w:pPr>
        <w:pStyle w:val="Imprint"/>
      </w:pPr>
    </w:p>
    <w:p w14:paraId="0ECD0571" w14:textId="77777777" w:rsidR="00BC5284" w:rsidRDefault="00BC5284">
      <w:pPr>
        <w:pStyle w:val="Imprint"/>
      </w:pPr>
      <w:r>
        <w:t xml:space="preserve">This work is licensed under a Creative Commons Attribution 4.0 International licence. You are free to re-use the work under that licence, on the condition that you credit the Heritage Council of Victoria as author. The licence does not apply to any images, photographs or branding, including the Victorian Coat of Arms, the Victorian Government logo and the Heritage Council of Victoria logo. To view a copy of this licence, visit </w:t>
      </w:r>
      <w:r>
        <w:br/>
        <w:t xml:space="preserve">http://creativecommons.org/licenses/by/4.0/ </w:t>
      </w:r>
    </w:p>
    <w:p w14:paraId="6A56862E" w14:textId="77777777" w:rsidR="00BC5284" w:rsidRDefault="00BC5284">
      <w:pPr>
        <w:pStyle w:val="Imprint"/>
      </w:pPr>
      <w:r>
        <w:t>Printed by Finsbury Green</w:t>
      </w:r>
      <w:r>
        <w:br/>
        <w:t>Design by Billington Prideaux Partnership</w:t>
      </w:r>
    </w:p>
    <w:p w14:paraId="14669384" w14:textId="77777777" w:rsidR="00BC5284" w:rsidRDefault="00BC5284">
      <w:pPr>
        <w:pStyle w:val="Imprint"/>
      </w:pPr>
      <w:r>
        <w:t>ISBN 978-1-76105-222-4 (Print)</w:t>
      </w:r>
      <w:r>
        <w:br/>
        <w:t xml:space="preserve">ISBN 978-1-76105-223-1 (pdf/online/MS Word) </w:t>
      </w:r>
    </w:p>
    <w:p w14:paraId="3E35EBA5" w14:textId="77777777" w:rsidR="00BC5284" w:rsidRDefault="00BC5284">
      <w:pPr>
        <w:pStyle w:val="Imprint"/>
      </w:pPr>
      <w:r>
        <w:rPr>
          <w:rFonts w:ascii="FreightText Pro Bold" w:hAnsi="FreightText Pro Bold" w:cs="FreightText Pro Bold"/>
          <w:b/>
          <w:bCs/>
        </w:rPr>
        <w:t>Disclaimer</w:t>
      </w:r>
      <w:r>
        <w:rPr>
          <w:rFonts w:ascii="FreightText Pro Bold" w:hAnsi="FreightText Pro Bold" w:cs="FreightText Pro Bold"/>
          <w:b/>
          <w:bCs/>
        </w:rPr>
        <w:br/>
      </w: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59DF7BA" w14:textId="77777777" w:rsidR="00BC5284" w:rsidRDefault="00BC5284">
      <w:pPr>
        <w:pStyle w:val="Imprint"/>
      </w:pPr>
    </w:p>
    <w:p w14:paraId="08356BCC" w14:textId="77777777" w:rsidR="00BC5284" w:rsidRDefault="00BC5284">
      <w:pPr>
        <w:pStyle w:val="HeadingSubtitle4"/>
        <w:rPr>
          <w:rStyle w:val="TextBold"/>
          <w:rFonts w:cs="FreightText Pro Bold"/>
          <w:b/>
          <w:sz w:val="24"/>
          <w:szCs w:val="24"/>
        </w:rPr>
      </w:pPr>
      <w:r>
        <w:rPr>
          <w:rStyle w:val="TextBold"/>
          <w:rFonts w:cs="FreightText Pro Bold"/>
          <w:b/>
          <w:sz w:val="24"/>
          <w:szCs w:val="24"/>
        </w:rPr>
        <w:t>Accessibility</w:t>
      </w:r>
    </w:p>
    <w:p w14:paraId="047520B1" w14:textId="77777777" w:rsidR="00BC5284" w:rsidRDefault="00BC5284">
      <w:pPr>
        <w:pStyle w:val="Text"/>
        <w:rPr>
          <w:sz w:val="24"/>
          <w:szCs w:val="24"/>
        </w:rPr>
      </w:pPr>
      <w:r>
        <w:rPr>
          <w:sz w:val="24"/>
          <w:szCs w:val="24"/>
        </w:rPr>
        <w:t xml:space="preserve">If you would like to receive this publication in an alternative format, please telephone the Heritage Council of Victoria on 9651 5060, or email </w:t>
      </w:r>
      <w:r>
        <w:rPr>
          <w:sz w:val="24"/>
          <w:szCs w:val="24"/>
        </w:rPr>
        <w:br/>
      </w:r>
      <w:r>
        <w:rPr>
          <w:rFonts w:ascii="FreightText Pro Bold" w:hAnsi="FreightText Pro Bold" w:cs="FreightText Pro Bold"/>
          <w:b/>
          <w:bCs/>
          <w:sz w:val="24"/>
          <w:szCs w:val="24"/>
        </w:rPr>
        <w:t>heritage.council@delwp.vic.gov.au</w:t>
      </w:r>
      <w:r>
        <w:rPr>
          <w:sz w:val="24"/>
          <w:szCs w:val="24"/>
        </w:rPr>
        <w:t xml:space="preserve">. </w:t>
      </w:r>
      <w:r>
        <w:rPr>
          <w:sz w:val="24"/>
          <w:szCs w:val="24"/>
        </w:rPr>
        <w:br/>
        <w:t xml:space="preserve">This document is also available on the internet at </w:t>
      </w:r>
      <w:r>
        <w:rPr>
          <w:sz w:val="24"/>
          <w:szCs w:val="24"/>
        </w:rPr>
        <w:br/>
      </w:r>
      <w:r>
        <w:rPr>
          <w:rFonts w:ascii="FreightText Pro Bold" w:hAnsi="FreightText Pro Bold" w:cs="FreightText Pro Bold"/>
          <w:b/>
          <w:bCs/>
          <w:sz w:val="24"/>
          <w:szCs w:val="24"/>
        </w:rPr>
        <w:t>www.heritagecouncil.vic.gov.au</w:t>
      </w:r>
      <w:r>
        <w:rPr>
          <w:sz w:val="24"/>
          <w:szCs w:val="24"/>
        </w:rPr>
        <w:t>.</w:t>
      </w:r>
    </w:p>
    <w:p w14:paraId="1C73E6E4" w14:textId="77777777" w:rsidR="00BC5284" w:rsidRDefault="00BC5284">
      <w:pPr>
        <w:pStyle w:val="Imprint"/>
      </w:pPr>
    </w:p>
    <w:p w14:paraId="256D8256" w14:textId="77777777" w:rsidR="00BC5284" w:rsidRDefault="00BC5284">
      <w:pPr>
        <w:pStyle w:val="Imprint"/>
      </w:pPr>
      <w:r>
        <w:t>Cover image: Elm Grove, Richmond, part of the Elm Grove Precinct, Yarra City Council (© Hin Lim | HIN LIM AIPP 2020).</w:t>
      </w:r>
    </w:p>
    <w:p w14:paraId="752DD7FC" w14:textId="77777777" w:rsidR="00BC5284" w:rsidRDefault="00BC5284">
      <w:pPr>
        <w:pStyle w:val="Imprint"/>
      </w:pPr>
      <w:r>
        <w:t>All photos as credited.</w:t>
      </w:r>
    </w:p>
    <w:p w14:paraId="7AC3C7F8" w14:textId="77777777" w:rsidR="00BC5284" w:rsidRDefault="00BC5284">
      <w:pPr>
        <w:pStyle w:val="Text"/>
      </w:pPr>
    </w:p>
    <w:p w14:paraId="43DB64D0" w14:textId="77777777" w:rsidR="00BC5284" w:rsidRDefault="00BC5284">
      <w:pPr>
        <w:pStyle w:val="Text"/>
      </w:pPr>
    </w:p>
    <w:p w14:paraId="52B752CF" w14:textId="77777777" w:rsidR="00BC5284" w:rsidRDefault="00BC5284">
      <w:pPr>
        <w:pStyle w:val="BasicParagraph"/>
        <w:rPr>
          <w:rFonts w:ascii="FreightText Pro Bold" w:hAnsi="FreightText Pro Bold" w:cs="FreightText Pro Bold"/>
          <w:b/>
          <w:bCs/>
          <w:sz w:val="60"/>
          <w:szCs w:val="60"/>
        </w:rPr>
      </w:pPr>
      <w:r>
        <w:rPr>
          <w:rFonts w:ascii="FreightText Pro Bold" w:hAnsi="FreightText Pro Bold" w:cs="FreightText Pro Bold"/>
          <w:b/>
          <w:bCs/>
          <w:sz w:val="60"/>
          <w:szCs w:val="60"/>
        </w:rPr>
        <w:br w:type="page"/>
      </w:r>
      <w:r>
        <w:rPr>
          <w:rFonts w:ascii="FreightText Pro Bold" w:hAnsi="FreightText Pro Bold" w:cs="FreightText Pro Bold"/>
          <w:b/>
          <w:bCs/>
          <w:sz w:val="60"/>
          <w:szCs w:val="60"/>
        </w:rPr>
        <w:lastRenderedPageBreak/>
        <w:t>Table of contents</w:t>
      </w:r>
    </w:p>
    <w:p w14:paraId="5DF0A178" w14:textId="77777777" w:rsidR="00BC5284" w:rsidRDefault="00BC5284">
      <w:pPr>
        <w:pStyle w:val="ToCStyle2Boldtext-CapsLC"/>
      </w:pPr>
      <w:r>
        <w:t>List of figures and tables</w:t>
      </w:r>
      <w:r>
        <w:tab/>
      </w:r>
      <w:r w:rsidR="009B6E1E">
        <w:t>3</w:t>
      </w:r>
    </w:p>
    <w:p w14:paraId="736F635D" w14:textId="77777777" w:rsidR="00BC5284" w:rsidRDefault="00BC5284">
      <w:pPr>
        <w:pStyle w:val="ToCStyle2Boldtext-CapsLC"/>
      </w:pPr>
      <w:r>
        <w:t>List of abbreviations</w:t>
      </w:r>
      <w:r>
        <w:tab/>
      </w:r>
      <w:r w:rsidR="009B6E1E">
        <w:t>4</w:t>
      </w:r>
    </w:p>
    <w:p w14:paraId="1343E0C5" w14:textId="77777777" w:rsidR="00BC5284" w:rsidRDefault="00BC5284">
      <w:pPr>
        <w:pStyle w:val="ToCStyle1Boldtext-Caps"/>
      </w:pPr>
      <w:r>
        <w:t>Executive Summary</w:t>
      </w:r>
      <w:r>
        <w:tab/>
      </w:r>
      <w:r w:rsidR="009B6E1E">
        <w:t>5</w:t>
      </w:r>
    </w:p>
    <w:p w14:paraId="2E12B451" w14:textId="77777777" w:rsidR="00BC5284" w:rsidRDefault="00BC5284">
      <w:pPr>
        <w:pStyle w:val="ToCStyle1Boldtext-Caps"/>
      </w:pPr>
      <w:r>
        <w:t>1.</w:t>
      </w:r>
      <w:r>
        <w:tab/>
        <w:t>Introduction</w:t>
      </w:r>
      <w:r>
        <w:tab/>
      </w:r>
      <w:r w:rsidR="009B6E1E">
        <w:t>7</w:t>
      </w:r>
    </w:p>
    <w:p w14:paraId="1E9C5D98" w14:textId="77777777" w:rsidR="00BC5284" w:rsidRDefault="00BC5284">
      <w:pPr>
        <w:pStyle w:val="ToCStyle2Boldtext-CapsLC"/>
      </w:pPr>
      <w:r>
        <w:tab/>
        <w:t>1.1</w:t>
      </w:r>
      <w:r>
        <w:tab/>
        <w:t>Background</w:t>
      </w:r>
      <w:r>
        <w:tab/>
      </w:r>
      <w:r w:rsidR="009B6E1E">
        <w:t>7</w:t>
      </w:r>
    </w:p>
    <w:p w14:paraId="6FBF65B6" w14:textId="77777777" w:rsidR="00BC5284" w:rsidRDefault="00BC5284">
      <w:pPr>
        <w:pStyle w:val="ToCStyle2Boldtext-CapsLC"/>
      </w:pPr>
      <w:r>
        <w:tab/>
        <w:t>1.2</w:t>
      </w:r>
      <w:r>
        <w:tab/>
        <w:t>Review objectives, deliverables and audience</w:t>
      </w:r>
      <w:r>
        <w:tab/>
      </w:r>
      <w:r w:rsidR="009B6E1E">
        <w:t>8</w:t>
      </w:r>
    </w:p>
    <w:p w14:paraId="1CADDAA0" w14:textId="77777777" w:rsidR="00BC5284" w:rsidRDefault="00BC5284">
      <w:pPr>
        <w:pStyle w:val="ToCStyle2Boldtext-CapsLC"/>
      </w:pPr>
      <w:r>
        <w:tab/>
        <w:t>1.3</w:t>
      </w:r>
      <w:r>
        <w:tab/>
        <w:t>Review constraints and scope</w:t>
      </w:r>
      <w:r>
        <w:tab/>
      </w:r>
      <w:r w:rsidR="009B6E1E">
        <w:t>8</w:t>
      </w:r>
    </w:p>
    <w:p w14:paraId="54A8E7FE" w14:textId="77777777" w:rsidR="00BC5284" w:rsidRDefault="00BC5284">
      <w:pPr>
        <w:pStyle w:val="ToCStyle2Boldtext-CapsLC"/>
      </w:pPr>
      <w:r>
        <w:tab/>
        <w:t>1.4</w:t>
      </w:r>
      <w:r>
        <w:tab/>
        <w:t>Review governance and process</w:t>
      </w:r>
      <w:r>
        <w:tab/>
      </w:r>
      <w:r w:rsidR="009B6E1E">
        <w:t>10</w:t>
      </w:r>
    </w:p>
    <w:p w14:paraId="6ED8DA21" w14:textId="77777777" w:rsidR="00BC5284" w:rsidRDefault="00BC5284">
      <w:pPr>
        <w:pStyle w:val="ToCStyle1Boldtext-Caps"/>
        <w:rPr>
          <w:spacing w:val="-2"/>
        </w:rPr>
      </w:pPr>
      <w:r>
        <w:t>2.</w:t>
      </w:r>
      <w:r>
        <w:tab/>
      </w:r>
      <w:r>
        <w:rPr>
          <w:spacing w:val="-2"/>
        </w:rPr>
        <w:t>Heritage Protection in Victoria</w:t>
      </w:r>
      <w:r>
        <w:rPr>
          <w:spacing w:val="-2"/>
        </w:rPr>
        <w:tab/>
      </w:r>
      <w:r w:rsidR="009B6E1E">
        <w:rPr>
          <w:spacing w:val="-2"/>
        </w:rPr>
        <w:t>11</w:t>
      </w:r>
    </w:p>
    <w:p w14:paraId="1035228C" w14:textId="77777777" w:rsidR="00BC5284" w:rsidRDefault="00BC5284">
      <w:pPr>
        <w:pStyle w:val="ToCStyle2Boldtext-CapsLC"/>
      </w:pPr>
      <w:r>
        <w:tab/>
        <w:t>2.1</w:t>
      </w:r>
      <w:r>
        <w:tab/>
        <w:t>World and national heritage protection in Victoria</w:t>
      </w:r>
      <w:r>
        <w:tab/>
      </w:r>
      <w:r w:rsidR="009B6E1E">
        <w:t>11</w:t>
      </w:r>
    </w:p>
    <w:p w14:paraId="617B0064" w14:textId="77777777" w:rsidR="00BC5284" w:rsidRDefault="00BC5284">
      <w:pPr>
        <w:pStyle w:val="ToCStyle2Boldtext-CapsLC"/>
      </w:pPr>
      <w:r>
        <w:tab/>
        <w:t>2.2</w:t>
      </w:r>
      <w:r>
        <w:tab/>
        <w:t>State heritage protection in Victoria</w:t>
      </w:r>
      <w:r>
        <w:tab/>
      </w:r>
      <w:r w:rsidR="009B6E1E">
        <w:t>11</w:t>
      </w:r>
    </w:p>
    <w:p w14:paraId="46CAEA9F" w14:textId="77777777" w:rsidR="00BC5284" w:rsidRDefault="00BC5284">
      <w:pPr>
        <w:pStyle w:val="ToCStyle2Boldtext-CapsLC"/>
      </w:pPr>
      <w:r>
        <w:tab/>
        <w:t>2.3</w:t>
      </w:r>
      <w:r>
        <w:tab/>
        <w:t>Local heritage protection in Victoria</w:t>
      </w:r>
      <w:r>
        <w:tab/>
      </w:r>
      <w:r w:rsidR="009B6E1E">
        <w:t>13</w:t>
      </w:r>
    </w:p>
    <w:p w14:paraId="7197BDFC" w14:textId="77777777" w:rsidR="00BC5284" w:rsidRDefault="00BC5284">
      <w:pPr>
        <w:pStyle w:val="ToCStyle2Boldtext-CapsLC"/>
      </w:pPr>
      <w:r>
        <w:tab/>
        <w:t>2.4</w:t>
      </w:r>
      <w:r>
        <w:tab/>
        <w:t>Overview of interstate heritage protection</w:t>
      </w:r>
      <w:r>
        <w:tab/>
      </w:r>
      <w:r w:rsidR="009B6E1E">
        <w:t>14</w:t>
      </w:r>
    </w:p>
    <w:p w14:paraId="65605FC9" w14:textId="77777777" w:rsidR="00BC5284" w:rsidRDefault="00BC5284">
      <w:pPr>
        <w:pStyle w:val="ToCStyle1Boldtext-Caps"/>
        <w:rPr>
          <w:spacing w:val="-2"/>
        </w:rPr>
      </w:pPr>
      <w:r>
        <w:t>3.</w:t>
      </w:r>
      <w:r>
        <w:tab/>
      </w:r>
      <w:r>
        <w:rPr>
          <w:spacing w:val="-2"/>
        </w:rPr>
        <w:t>Analysis of local heritage provisions in Victoria</w:t>
      </w:r>
      <w:r>
        <w:rPr>
          <w:spacing w:val="-2"/>
        </w:rPr>
        <w:tab/>
      </w:r>
      <w:r w:rsidR="009B6E1E">
        <w:rPr>
          <w:spacing w:val="-2"/>
        </w:rPr>
        <w:t>15</w:t>
      </w:r>
    </w:p>
    <w:p w14:paraId="3D4789F2" w14:textId="77777777" w:rsidR="00BC5284" w:rsidRDefault="00BC5284">
      <w:pPr>
        <w:pStyle w:val="ToCStyle2Boldtext-CapsLC"/>
      </w:pPr>
      <w:r>
        <w:tab/>
        <w:t>3.1</w:t>
      </w:r>
      <w:r>
        <w:tab/>
        <w:t>Data grouping and presentation</w:t>
      </w:r>
      <w:r>
        <w:tab/>
        <w:t>1</w:t>
      </w:r>
      <w:r w:rsidR="009B6E1E">
        <w:t>5</w:t>
      </w:r>
    </w:p>
    <w:p w14:paraId="7C83E047" w14:textId="77777777" w:rsidR="00BC5284" w:rsidRDefault="00BC5284">
      <w:pPr>
        <w:pStyle w:val="ToCStyle2Boldtext-CapsLC"/>
      </w:pPr>
      <w:r>
        <w:tab/>
        <w:t>3.2</w:t>
      </w:r>
      <w:r>
        <w:tab/>
        <w:t>Stocktake tables</w:t>
      </w:r>
      <w:r>
        <w:tab/>
        <w:t>1</w:t>
      </w:r>
      <w:r w:rsidR="009B6E1E">
        <w:t>5</w:t>
      </w:r>
    </w:p>
    <w:p w14:paraId="6A3FFC0D" w14:textId="77777777" w:rsidR="00BC5284" w:rsidRDefault="00BC5284">
      <w:pPr>
        <w:pStyle w:val="ToCStyle2Boldtext-CapsLC"/>
      </w:pPr>
      <w:r>
        <w:tab/>
        <w:t>3.3</w:t>
      </w:r>
      <w:r>
        <w:tab/>
        <w:t>Identifying local heritage</w:t>
      </w:r>
      <w:r>
        <w:tab/>
      </w:r>
      <w:r w:rsidR="009B6E1E">
        <w:t>25</w:t>
      </w:r>
    </w:p>
    <w:p w14:paraId="33B56D18" w14:textId="77777777" w:rsidR="00BC5284" w:rsidRDefault="00BC5284">
      <w:pPr>
        <w:pStyle w:val="ToCStyle2Boldtext-CapsLC"/>
      </w:pPr>
      <w:r>
        <w:tab/>
        <w:t>3.4</w:t>
      </w:r>
      <w:r>
        <w:tab/>
        <w:t>Protecting local heritage</w:t>
      </w:r>
      <w:r>
        <w:tab/>
        <w:t>2</w:t>
      </w:r>
      <w:r w:rsidR="009B6E1E">
        <w:t>9</w:t>
      </w:r>
    </w:p>
    <w:p w14:paraId="5226FA8C" w14:textId="77777777" w:rsidR="00BC5284" w:rsidRDefault="00BC5284">
      <w:pPr>
        <w:pStyle w:val="ToCStyle2Boldtext-CapsLC"/>
      </w:pPr>
      <w:r>
        <w:tab/>
        <w:t>3.5</w:t>
      </w:r>
      <w:r>
        <w:tab/>
        <w:t>Supporting local heritage</w:t>
      </w:r>
      <w:r>
        <w:tab/>
      </w:r>
      <w:r w:rsidR="009B6E1E">
        <w:t>33</w:t>
      </w:r>
    </w:p>
    <w:p w14:paraId="3C66BBFB" w14:textId="77777777" w:rsidR="00BC5284" w:rsidRDefault="00BC5284">
      <w:pPr>
        <w:pStyle w:val="ToCStyle2Boldtext-CapsLC"/>
      </w:pPr>
      <w:r>
        <w:tab/>
        <w:t>3.6</w:t>
      </w:r>
      <w:r>
        <w:tab/>
        <w:t>Communicating local heritage</w:t>
      </w:r>
      <w:r>
        <w:tab/>
        <w:t>3</w:t>
      </w:r>
      <w:r w:rsidR="009B6E1E">
        <w:t>9</w:t>
      </w:r>
    </w:p>
    <w:p w14:paraId="4C464DF8" w14:textId="77777777" w:rsidR="00BC5284" w:rsidRDefault="00BC5284">
      <w:pPr>
        <w:pStyle w:val="ToCStyle2Boldtext-CapsLC"/>
      </w:pPr>
      <w:r>
        <w:tab/>
        <w:t>3.7</w:t>
      </w:r>
      <w:r>
        <w:tab/>
        <w:t>Resourcing</w:t>
      </w:r>
      <w:r>
        <w:tab/>
      </w:r>
      <w:r w:rsidR="009B6E1E">
        <w:t>43</w:t>
      </w:r>
    </w:p>
    <w:p w14:paraId="402A0F5E" w14:textId="77777777" w:rsidR="00BC5284" w:rsidRDefault="00BC5284">
      <w:pPr>
        <w:pStyle w:val="ToCStyle2Boldtext-CapsLC"/>
      </w:pPr>
      <w:r>
        <w:tab/>
        <w:t>3.8</w:t>
      </w:r>
      <w:r>
        <w:tab/>
        <w:t>Council and community perceptions</w:t>
      </w:r>
      <w:r>
        <w:tab/>
      </w:r>
      <w:r w:rsidR="009B6E1E">
        <w:t>43</w:t>
      </w:r>
    </w:p>
    <w:p w14:paraId="289C4EAF" w14:textId="77777777" w:rsidR="00BC5284" w:rsidRDefault="00BC5284">
      <w:pPr>
        <w:pStyle w:val="ToCStyle2Boldtext-CapsLC"/>
      </w:pPr>
      <w:r>
        <w:tab/>
        <w:t>3.9</w:t>
      </w:r>
      <w:r>
        <w:tab/>
        <w:t>Local heritage workshops</w:t>
      </w:r>
      <w:r>
        <w:tab/>
        <w:t>4</w:t>
      </w:r>
      <w:r w:rsidR="009B6E1E">
        <w:t>5</w:t>
      </w:r>
    </w:p>
    <w:p w14:paraId="0F8358A2" w14:textId="77777777" w:rsidR="00BC5284" w:rsidRDefault="00BC5284">
      <w:pPr>
        <w:pStyle w:val="ToCStyle2Boldtext-CapsLC"/>
      </w:pPr>
      <w:r>
        <w:tab/>
        <w:t>3.10</w:t>
      </w:r>
      <w:r>
        <w:tab/>
        <w:t>Analysis summary</w:t>
      </w:r>
      <w:r>
        <w:tab/>
        <w:t>4</w:t>
      </w:r>
      <w:r w:rsidR="009B6E1E">
        <w:t>8</w:t>
      </w:r>
    </w:p>
    <w:p w14:paraId="3CEBF626" w14:textId="77777777" w:rsidR="00BC5284" w:rsidRDefault="00BC5284">
      <w:pPr>
        <w:pStyle w:val="ToCStyle1Boldtext-Caps"/>
      </w:pPr>
      <w:r>
        <w:t>4.</w:t>
      </w:r>
      <w:r>
        <w:tab/>
        <w:t>Recommendations</w:t>
      </w:r>
      <w:r>
        <w:tab/>
      </w:r>
      <w:r w:rsidR="009B6E1E">
        <w:t>51</w:t>
      </w:r>
    </w:p>
    <w:p w14:paraId="434EEB98" w14:textId="77777777" w:rsidR="00BC5284" w:rsidRDefault="00BC5284">
      <w:pPr>
        <w:pStyle w:val="ToCStyle2Boldtext-CapsLC"/>
      </w:pPr>
      <w:r>
        <w:tab/>
        <w:t>4.1</w:t>
      </w:r>
      <w:r>
        <w:tab/>
        <w:t>Strategic initiative</w:t>
      </w:r>
      <w:r>
        <w:tab/>
      </w:r>
      <w:r w:rsidR="009B6E1E">
        <w:t>51</w:t>
      </w:r>
    </w:p>
    <w:p w14:paraId="45B0ED40" w14:textId="77777777" w:rsidR="00BC5284" w:rsidRDefault="00BC5284">
      <w:pPr>
        <w:pStyle w:val="ToCStyle2Boldtext-CapsLC"/>
      </w:pPr>
      <w:r>
        <w:tab/>
        <w:t>4.2</w:t>
      </w:r>
      <w:r>
        <w:tab/>
        <w:t>Practical improvements</w:t>
      </w:r>
      <w:r>
        <w:tab/>
      </w:r>
      <w:r w:rsidR="009B6E1E">
        <w:t>53</w:t>
      </w:r>
    </w:p>
    <w:p w14:paraId="2F8A9195" w14:textId="77777777" w:rsidR="00BC5284" w:rsidRDefault="00BC5284">
      <w:pPr>
        <w:pStyle w:val="ToCStyle2Boldtext-CapsLC"/>
      </w:pPr>
      <w:r>
        <w:tab/>
        <w:t>4.3</w:t>
      </w:r>
      <w:r>
        <w:tab/>
        <w:t>Promotional program</w:t>
      </w:r>
      <w:r>
        <w:tab/>
      </w:r>
      <w:r w:rsidR="009B6E1E">
        <w:t>55</w:t>
      </w:r>
    </w:p>
    <w:p w14:paraId="71FFD918" w14:textId="77777777" w:rsidR="00BC5284" w:rsidRDefault="00BC5284">
      <w:pPr>
        <w:pStyle w:val="ToCStyle1Boldtext-Caps"/>
      </w:pPr>
      <w:r>
        <w:t>5.</w:t>
      </w:r>
      <w:r>
        <w:tab/>
        <w:t>Implementation</w:t>
      </w:r>
      <w:r>
        <w:tab/>
        <w:t>5</w:t>
      </w:r>
      <w:r w:rsidR="009B6E1E">
        <w:t>6</w:t>
      </w:r>
    </w:p>
    <w:p w14:paraId="7F3850FF" w14:textId="77777777" w:rsidR="00BC5284" w:rsidRDefault="00BC5284">
      <w:pPr>
        <w:pStyle w:val="ToCStyle2Boldtext-CapsLC"/>
      </w:pPr>
      <w:r>
        <w:tab/>
        <w:t>5.1</w:t>
      </w:r>
      <w:r>
        <w:tab/>
        <w:t>Strategic initiative</w:t>
      </w:r>
      <w:r>
        <w:tab/>
        <w:t>5</w:t>
      </w:r>
      <w:r w:rsidR="009B6E1E">
        <w:t>6</w:t>
      </w:r>
    </w:p>
    <w:p w14:paraId="2E883A67" w14:textId="77777777" w:rsidR="00BC5284" w:rsidRDefault="00BC5284">
      <w:pPr>
        <w:pStyle w:val="ToCStyle2Boldtext-CapsLC"/>
      </w:pPr>
      <w:r>
        <w:tab/>
        <w:t>5.2</w:t>
      </w:r>
      <w:r>
        <w:tab/>
        <w:t>Practical improvements</w:t>
      </w:r>
      <w:r>
        <w:tab/>
        <w:t>5</w:t>
      </w:r>
      <w:r w:rsidR="009B6E1E">
        <w:t>7</w:t>
      </w:r>
    </w:p>
    <w:p w14:paraId="3B354D52" w14:textId="77777777" w:rsidR="00BC5284" w:rsidRDefault="00BC5284">
      <w:pPr>
        <w:pStyle w:val="ToCStyle2Boldtext-CapsLC"/>
      </w:pPr>
      <w:r>
        <w:tab/>
        <w:t>5.3</w:t>
      </w:r>
      <w:r>
        <w:tab/>
        <w:t>Promotional program</w:t>
      </w:r>
      <w:r>
        <w:tab/>
      </w:r>
      <w:r w:rsidR="009B6E1E">
        <w:t>60</w:t>
      </w:r>
    </w:p>
    <w:p w14:paraId="06E41CB5" w14:textId="77777777" w:rsidR="00BC5284" w:rsidRDefault="00BC5284">
      <w:pPr>
        <w:pStyle w:val="ToCStyle2Boldtext-CapsLC"/>
      </w:pPr>
      <w:r>
        <w:tab/>
        <w:t>5.4</w:t>
      </w:r>
      <w:r>
        <w:tab/>
        <w:t>External impacts</w:t>
      </w:r>
      <w:r>
        <w:tab/>
      </w:r>
      <w:r w:rsidR="009B6E1E">
        <w:t>61</w:t>
      </w:r>
    </w:p>
    <w:p w14:paraId="782DFE07" w14:textId="77777777" w:rsidR="00BC5284" w:rsidRDefault="00BC5284">
      <w:pPr>
        <w:pStyle w:val="ToCStyle1Boldtext-Caps"/>
      </w:pPr>
      <w:r>
        <w:lastRenderedPageBreak/>
        <w:t>References</w:t>
      </w:r>
      <w:r>
        <w:tab/>
      </w:r>
      <w:r w:rsidR="009B6E1E">
        <w:t>61</w:t>
      </w:r>
    </w:p>
    <w:p w14:paraId="17774E2D" w14:textId="77777777" w:rsidR="00BC5284" w:rsidRDefault="00BC5284">
      <w:pPr>
        <w:pStyle w:val="ToCStyle1Boldtext-Caps"/>
      </w:pPr>
      <w:r>
        <w:t>Appendices</w:t>
      </w:r>
      <w:r>
        <w:tab/>
      </w:r>
      <w:r w:rsidR="009B6E1E">
        <w:t>62</w:t>
      </w:r>
    </w:p>
    <w:p w14:paraId="56FEE319" w14:textId="77777777" w:rsidR="00BC5284" w:rsidRDefault="00BC5284">
      <w:pPr>
        <w:pStyle w:val="ToCStyle2Boldtext-CapsLC"/>
      </w:pPr>
      <w:r>
        <w:tab/>
        <w:t>Appendix 1 – Comparison of state and territory heritage systems</w:t>
      </w:r>
      <w:r>
        <w:tab/>
      </w:r>
      <w:r w:rsidR="009B6E1E">
        <w:t>62</w:t>
      </w:r>
    </w:p>
    <w:p w14:paraId="0B5B0C41" w14:textId="77777777" w:rsidR="00BC5284" w:rsidRDefault="00BC5284">
      <w:pPr>
        <w:pStyle w:val="ToCStyle2Boldtext-CapsLC"/>
      </w:pPr>
      <w:r>
        <w:tab/>
        <w:t>Appendix 2 – Stocktake table</w:t>
      </w:r>
      <w:r>
        <w:tab/>
      </w:r>
      <w:r w:rsidR="009B6E1E">
        <w:t>65</w:t>
      </w:r>
    </w:p>
    <w:p w14:paraId="3EF1C8BE" w14:textId="77777777" w:rsidR="00BC5284" w:rsidRDefault="00BC5284">
      <w:pPr>
        <w:pStyle w:val="ToCStyle1Boldtext-Caps"/>
      </w:pPr>
      <w:r>
        <w:t>Acknowledgements</w:t>
      </w:r>
      <w:r>
        <w:tab/>
      </w:r>
      <w:r w:rsidR="009B6E1E">
        <w:t>7</w:t>
      </w:r>
      <w:r>
        <w:t>0</w:t>
      </w:r>
    </w:p>
    <w:p w14:paraId="5CAF0487" w14:textId="77777777" w:rsidR="00BC5284" w:rsidRDefault="00BC5284">
      <w:pPr>
        <w:pStyle w:val="ChapterHeadingFM"/>
        <w:rPr>
          <w:color w:val="000000"/>
        </w:rPr>
      </w:pPr>
      <w:r>
        <w:rPr>
          <w:color w:val="000000"/>
        </w:rPr>
        <w:t>List of figures and tables</w:t>
      </w:r>
    </w:p>
    <w:p w14:paraId="414D9146" w14:textId="77777777" w:rsidR="00BC5284" w:rsidRDefault="00BC5284">
      <w:pPr>
        <w:pStyle w:val="ToCStyle1Boldtext-Caps"/>
      </w:pPr>
      <w:r>
        <w:t>FIGURES</w:t>
      </w:r>
    </w:p>
    <w:p w14:paraId="57CB094A" w14:textId="77777777" w:rsidR="00BC5284" w:rsidRDefault="00BC5284">
      <w:pPr>
        <w:pStyle w:val="ToCStyle2Boldtext-CapsLC"/>
      </w:pPr>
      <w:r>
        <w:t>Figure 3.1</w:t>
      </w:r>
      <w:r>
        <w:tab/>
        <w:t>Council groupings map</w:t>
      </w:r>
      <w:r>
        <w:tab/>
        <w:t>1</w:t>
      </w:r>
      <w:r w:rsidR="00B15A25">
        <w:t>7</w:t>
      </w:r>
    </w:p>
    <w:p w14:paraId="23303413" w14:textId="77777777" w:rsidR="00BC5284" w:rsidRDefault="00BC5284">
      <w:pPr>
        <w:pStyle w:val="ToCStyle2Boldtext-CapsLC"/>
      </w:pPr>
      <w:r>
        <w:t>Figure 3.2</w:t>
      </w:r>
      <w:r>
        <w:tab/>
        <w:t>Number of heritage studies, review and surveys</w:t>
      </w:r>
      <w:r>
        <w:tab/>
      </w:r>
      <w:r w:rsidR="00B15A25">
        <w:t>25</w:t>
      </w:r>
    </w:p>
    <w:p w14:paraId="0B4A8EBA" w14:textId="77777777" w:rsidR="00BC5284" w:rsidRDefault="00BC5284">
      <w:pPr>
        <w:pStyle w:val="ToCStyle2Boldtext-CapsLC"/>
      </w:pPr>
      <w:r>
        <w:t>Figure 3.3</w:t>
      </w:r>
      <w:r>
        <w:tab/>
        <w:t>Recentness of heritage studies</w:t>
      </w:r>
      <w:r>
        <w:tab/>
      </w:r>
      <w:r w:rsidR="00B15A25">
        <w:t>25</w:t>
      </w:r>
    </w:p>
    <w:p w14:paraId="46523688" w14:textId="77777777" w:rsidR="00BC5284" w:rsidRDefault="00BC5284">
      <w:pPr>
        <w:pStyle w:val="ToCStyle2Boldtext-CapsLC"/>
      </w:pPr>
      <w:r>
        <w:t>Figure 3.4</w:t>
      </w:r>
      <w:r>
        <w:tab/>
        <w:t>Geographic gaps in heritage studies</w:t>
      </w:r>
      <w:r>
        <w:tab/>
      </w:r>
      <w:r w:rsidR="00B15A25">
        <w:t>26</w:t>
      </w:r>
    </w:p>
    <w:p w14:paraId="5B02EBC0" w14:textId="77777777" w:rsidR="00BC5284" w:rsidRDefault="00BC5284">
      <w:pPr>
        <w:pStyle w:val="ToCStyle2Boldtext-CapsLC"/>
      </w:pPr>
      <w:r>
        <w:t>Figure 3.5</w:t>
      </w:r>
      <w:r>
        <w:tab/>
        <w:t>Most common place-type gaps in heritage studies</w:t>
      </w:r>
      <w:r>
        <w:tab/>
      </w:r>
      <w:r w:rsidR="00B15A25">
        <w:t>26</w:t>
      </w:r>
    </w:p>
    <w:p w14:paraId="1A1B179E" w14:textId="77777777" w:rsidR="00BC5284" w:rsidRDefault="00BC5284">
      <w:pPr>
        <w:pStyle w:val="ToCStyle2Boldtext-CapsLC"/>
      </w:pPr>
      <w:r>
        <w:t>Figure 3.6</w:t>
      </w:r>
      <w:r>
        <w:tab/>
        <w:t>Number of Heritage Overlays in Victoria</w:t>
      </w:r>
      <w:r>
        <w:tab/>
      </w:r>
      <w:r w:rsidR="00B15A25">
        <w:t>30</w:t>
      </w:r>
    </w:p>
    <w:p w14:paraId="1C65CD56" w14:textId="77777777" w:rsidR="00BC5284" w:rsidRDefault="00BC5284">
      <w:pPr>
        <w:pStyle w:val="ToCStyle2Boldtext-CapsLC"/>
      </w:pPr>
      <w:r>
        <w:t>Figure 3.7</w:t>
      </w:r>
      <w:r>
        <w:tab/>
        <w:t>Number of Heritage Overlay properties in Victoria</w:t>
      </w:r>
      <w:r>
        <w:tab/>
      </w:r>
      <w:r w:rsidR="00B15A25">
        <w:t>30</w:t>
      </w:r>
    </w:p>
    <w:p w14:paraId="088313EB" w14:textId="77777777" w:rsidR="00BC5284" w:rsidRDefault="00BC5284">
      <w:pPr>
        <w:pStyle w:val="ToCStyle2Boldtext-CapsLC"/>
      </w:pPr>
      <w:r>
        <w:t>Figure 3.8</w:t>
      </w:r>
      <w:r>
        <w:tab/>
        <w:t>Heritage study translation gaps</w:t>
      </w:r>
      <w:r>
        <w:tab/>
      </w:r>
      <w:r w:rsidR="00B15A25">
        <w:t>30</w:t>
      </w:r>
    </w:p>
    <w:p w14:paraId="279FD046" w14:textId="77777777" w:rsidR="00BC5284" w:rsidRDefault="00BC5284">
      <w:pPr>
        <w:pStyle w:val="ToCStyle2Boldtext-CapsLC"/>
      </w:pPr>
      <w:r>
        <w:t>Figure 3.9</w:t>
      </w:r>
      <w:r>
        <w:tab/>
        <w:t>Difficulties experienced translating heritage studies</w:t>
      </w:r>
      <w:r>
        <w:tab/>
      </w:r>
      <w:r w:rsidR="00B15A25">
        <w:t>30</w:t>
      </w:r>
    </w:p>
    <w:p w14:paraId="3905E638" w14:textId="77777777" w:rsidR="00BC5284" w:rsidRDefault="00BC5284">
      <w:pPr>
        <w:pStyle w:val="ToCStyle2Boldtext-CapsLC"/>
      </w:pPr>
      <w:r>
        <w:t>Figure 3.10</w:t>
      </w:r>
      <w:r>
        <w:tab/>
        <w:t>Heritage strategies</w:t>
      </w:r>
      <w:r>
        <w:tab/>
      </w:r>
      <w:r w:rsidR="00B15A25">
        <w:t>33</w:t>
      </w:r>
    </w:p>
    <w:p w14:paraId="325DD58D" w14:textId="77777777" w:rsidR="00BC5284" w:rsidRDefault="00BC5284">
      <w:pPr>
        <w:pStyle w:val="ToCStyle2Boldtext-CapsLC"/>
      </w:pPr>
      <w:r>
        <w:t>Figure 3.11</w:t>
      </w:r>
      <w:r>
        <w:tab/>
        <w:t>Heritage Advisory Committees</w:t>
      </w:r>
      <w:r>
        <w:tab/>
      </w:r>
      <w:r w:rsidR="00B15A25">
        <w:t>34</w:t>
      </w:r>
    </w:p>
    <w:p w14:paraId="54D64894" w14:textId="77777777" w:rsidR="00BC5284" w:rsidRDefault="00BC5284">
      <w:pPr>
        <w:pStyle w:val="ToCStyle2Boldtext-CapsLC"/>
      </w:pPr>
      <w:r>
        <w:t>Figure 3.12</w:t>
      </w:r>
      <w:r>
        <w:tab/>
        <w:t>Heritage Advisors</w:t>
      </w:r>
      <w:r>
        <w:tab/>
      </w:r>
      <w:r w:rsidR="00B15A25">
        <w:t>34</w:t>
      </w:r>
    </w:p>
    <w:p w14:paraId="3BAB451C" w14:textId="77777777" w:rsidR="00BC5284" w:rsidRDefault="00BC5284">
      <w:pPr>
        <w:pStyle w:val="ToCStyle2Boldtext-CapsLC"/>
      </w:pPr>
      <w:r>
        <w:t>Figure 3.13</w:t>
      </w:r>
      <w:r>
        <w:tab/>
        <w:t>Internal heritage staff</w:t>
      </w:r>
      <w:r>
        <w:tab/>
      </w:r>
      <w:r w:rsidR="00B15A25">
        <w:t>35</w:t>
      </w:r>
    </w:p>
    <w:p w14:paraId="348719DD" w14:textId="77777777" w:rsidR="00BC5284" w:rsidRDefault="00BC5284">
      <w:pPr>
        <w:pStyle w:val="ToCStyle2Boldtext-CapsLC"/>
      </w:pPr>
      <w:r>
        <w:t>Figure 3.14</w:t>
      </w:r>
      <w:r>
        <w:tab/>
        <w:t>Financial incentives</w:t>
      </w:r>
      <w:r>
        <w:tab/>
        <w:t>3</w:t>
      </w:r>
      <w:r w:rsidR="00B15A25">
        <w:t>9</w:t>
      </w:r>
    </w:p>
    <w:p w14:paraId="3DF81332" w14:textId="77777777" w:rsidR="00BC5284" w:rsidRDefault="00BC5284">
      <w:pPr>
        <w:pStyle w:val="ToCStyle2Boldtext-CapsLC"/>
      </w:pPr>
      <w:r>
        <w:t>Figure 3.15</w:t>
      </w:r>
      <w:r>
        <w:tab/>
        <w:t>Local heritage data in HERMES</w:t>
      </w:r>
      <w:r>
        <w:tab/>
      </w:r>
      <w:r w:rsidR="00B15A25">
        <w:t>40</w:t>
      </w:r>
    </w:p>
    <w:p w14:paraId="71052BD2" w14:textId="77777777" w:rsidR="00BC5284" w:rsidRDefault="00BC5284">
      <w:pPr>
        <w:pStyle w:val="ToCStyle2Boldtext-CapsLC"/>
      </w:pPr>
      <w:r>
        <w:t>Figure 3.16</w:t>
      </w:r>
      <w:r>
        <w:tab/>
        <w:t>Communication and promotion mechanisms</w:t>
      </w:r>
      <w:r>
        <w:tab/>
      </w:r>
      <w:r w:rsidR="00B15A25">
        <w:t>40</w:t>
      </w:r>
    </w:p>
    <w:p w14:paraId="6E6EFC24" w14:textId="77777777" w:rsidR="00BC5284" w:rsidRDefault="00BC5284">
      <w:pPr>
        <w:pStyle w:val="ToCStyle2Boldtext-CapsLC"/>
      </w:pPr>
      <w:r>
        <w:t>Figure 3.17</w:t>
      </w:r>
      <w:r>
        <w:tab/>
        <w:t>Median expenditure on local heritage</w:t>
      </w:r>
      <w:r>
        <w:tab/>
      </w:r>
      <w:r w:rsidR="00B15A25">
        <w:t>43</w:t>
      </w:r>
    </w:p>
    <w:p w14:paraId="32CBDDCD" w14:textId="77777777" w:rsidR="00BC5284" w:rsidRDefault="00BC5284">
      <w:pPr>
        <w:pStyle w:val="ToCStyle2Boldtext-CapsLC"/>
      </w:pPr>
      <w:r>
        <w:t>Figure 4.1</w:t>
      </w:r>
      <w:r>
        <w:tab/>
        <w:t>Strategic initiative</w:t>
      </w:r>
      <w:r>
        <w:tab/>
      </w:r>
      <w:r w:rsidR="00B15A25">
        <w:t>51</w:t>
      </w:r>
    </w:p>
    <w:p w14:paraId="5208CA87" w14:textId="77777777" w:rsidR="00BC5284" w:rsidRDefault="00BC5284">
      <w:pPr>
        <w:pStyle w:val="ToCStyle1Boldtext-Caps"/>
      </w:pPr>
      <w:r>
        <w:t>TABLES</w:t>
      </w:r>
    </w:p>
    <w:p w14:paraId="364E7AB4" w14:textId="77777777" w:rsidR="00BC5284" w:rsidRDefault="00BC5284">
      <w:pPr>
        <w:pStyle w:val="ToCStyle2Boldtext-CapsLC"/>
      </w:pPr>
      <w:r>
        <w:t>Table 3.1</w:t>
      </w:r>
      <w:r>
        <w:tab/>
        <w:t>Council groupings table</w:t>
      </w:r>
      <w:r>
        <w:tab/>
        <w:t>1</w:t>
      </w:r>
      <w:r w:rsidR="00B15A25">
        <w:t>6</w:t>
      </w:r>
    </w:p>
    <w:p w14:paraId="7BC6272D" w14:textId="77777777" w:rsidR="00BC5284" w:rsidRDefault="00BC5284">
      <w:pPr>
        <w:pStyle w:val="ToCStyle2Boldtext-CapsLC"/>
      </w:pPr>
      <w:r>
        <w:t>Table 3.2</w:t>
      </w:r>
      <w:r>
        <w:tab/>
        <w:t>Stocktake table – Heritage Overlay figures</w:t>
      </w:r>
      <w:r>
        <w:tab/>
        <w:t>1</w:t>
      </w:r>
      <w:r w:rsidR="00B15A25">
        <w:t>8</w:t>
      </w:r>
    </w:p>
    <w:p w14:paraId="7BD9D6BD" w14:textId="77777777" w:rsidR="00BC5284" w:rsidRDefault="00BC5284">
      <w:pPr>
        <w:pStyle w:val="ToCStyle2Boldtext-CapsLC"/>
      </w:pPr>
      <w:r>
        <w:t>Table 3.3</w:t>
      </w:r>
      <w:r>
        <w:tab/>
        <w:t>Stocktake table – Council survey response</w:t>
      </w:r>
      <w:r>
        <w:tab/>
      </w:r>
      <w:r w:rsidR="00B15A25">
        <w:t>21</w:t>
      </w:r>
    </w:p>
    <w:p w14:paraId="6F10185A" w14:textId="77777777" w:rsidR="00BC5284" w:rsidRDefault="00BC5284">
      <w:pPr>
        <w:pStyle w:val="ToCStyle2Boldtext-CapsLC"/>
      </w:pPr>
      <w:r>
        <w:t>Table 3.4</w:t>
      </w:r>
      <w:r>
        <w:tab/>
        <w:t>Strengths, weaknesses, opportunities and threats analysis</w:t>
      </w:r>
      <w:r>
        <w:tab/>
      </w:r>
      <w:r w:rsidR="00B15A25">
        <w:t>44</w:t>
      </w:r>
    </w:p>
    <w:p w14:paraId="57833319" w14:textId="77777777" w:rsidR="00BC5284" w:rsidRDefault="00BC5284">
      <w:pPr>
        <w:pStyle w:val="ToCStyle2Boldtext-CapsLC"/>
      </w:pPr>
      <w:r>
        <w:t>Table 5.1</w:t>
      </w:r>
      <w:r>
        <w:tab/>
        <w:t>Heritage Council resourcing and priority definition meanings</w:t>
      </w:r>
      <w:r>
        <w:tab/>
        <w:t>5</w:t>
      </w:r>
      <w:r w:rsidR="00B15A25">
        <w:t>6</w:t>
      </w:r>
    </w:p>
    <w:p w14:paraId="5F4C3067" w14:textId="77777777" w:rsidR="00BC5284" w:rsidRDefault="00BC5284">
      <w:pPr>
        <w:pStyle w:val="ChapterHeadingFM"/>
        <w:rPr>
          <w:color w:val="000000"/>
        </w:rPr>
      </w:pPr>
      <w:r>
        <w:rPr>
          <w:color w:val="000000"/>
        </w:rPr>
        <w:t>List of abbreviations</w:t>
      </w:r>
    </w:p>
    <w:p w14:paraId="08E9D5F5" w14:textId="77777777" w:rsidR="00BC5284" w:rsidRDefault="00BC5284">
      <w:pPr>
        <w:pStyle w:val="ToCStyle2Boldtext-CapsLC"/>
        <w:tabs>
          <w:tab w:val="clear" w:pos="283"/>
          <w:tab w:val="clear" w:pos="680"/>
        </w:tabs>
      </w:pPr>
      <w:r>
        <w:t>AHC</w:t>
      </w:r>
      <w:r>
        <w:tab/>
        <w:t>Australian Heritage Council</w:t>
      </w:r>
      <w:r>
        <w:tab/>
      </w:r>
    </w:p>
    <w:p w14:paraId="0DC1D91F" w14:textId="77777777" w:rsidR="00BC5284" w:rsidRDefault="00BC5284">
      <w:pPr>
        <w:pStyle w:val="ToCStyle2Boldtext-CapsLC"/>
        <w:tabs>
          <w:tab w:val="clear" w:pos="283"/>
          <w:tab w:val="clear" w:pos="680"/>
        </w:tabs>
      </w:pPr>
      <w:r>
        <w:lastRenderedPageBreak/>
        <w:t>ARMB</w:t>
      </w:r>
      <w:r>
        <w:tab/>
        <w:t>Alpine Resort Management Board</w:t>
      </w:r>
      <w:r>
        <w:tab/>
      </w:r>
    </w:p>
    <w:p w14:paraId="60B327D1" w14:textId="77777777" w:rsidR="00BC5284" w:rsidRDefault="00BC5284">
      <w:pPr>
        <w:pStyle w:val="ToCStyle2Boldtext-CapsLC"/>
        <w:tabs>
          <w:tab w:val="clear" w:pos="283"/>
          <w:tab w:val="clear" w:pos="680"/>
        </w:tabs>
      </w:pPr>
      <w:r>
        <w:t>CHL</w:t>
      </w:r>
      <w:r>
        <w:tab/>
        <w:t>Commonwealth Heritage List</w:t>
      </w:r>
      <w:r>
        <w:tab/>
      </w:r>
    </w:p>
    <w:p w14:paraId="540B678C" w14:textId="77777777" w:rsidR="00BC5284" w:rsidRDefault="00BC5284">
      <w:pPr>
        <w:pStyle w:val="ToCStyle2Boldtext-CapsLC"/>
        <w:tabs>
          <w:tab w:val="clear" w:pos="283"/>
          <w:tab w:val="clear" w:pos="680"/>
        </w:tabs>
      </w:pPr>
      <w:r>
        <w:t>DELWP</w:t>
      </w:r>
      <w:r>
        <w:tab/>
        <w:t>Department of Environment, Land, Water and Planning</w:t>
      </w:r>
      <w:r>
        <w:tab/>
      </w:r>
    </w:p>
    <w:p w14:paraId="549051E8" w14:textId="77777777" w:rsidR="00BC5284" w:rsidRDefault="00BC5284">
      <w:pPr>
        <w:pStyle w:val="ToCStyle2Boldtext-CapsLC"/>
        <w:tabs>
          <w:tab w:val="clear" w:pos="283"/>
          <w:tab w:val="clear" w:pos="680"/>
        </w:tabs>
      </w:pPr>
      <w:r>
        <w:t>HAC</w:t>
      </w:r>
      <w:r>
        <w:tab/>
        <w:t>Heritage Advisory Committee</w:t>
      </w:r>
      <w:r>
        <w:tab/>
      </w:r>
    </w:p>
    <w:p w14:paraId="3FA30846" w14:textId="77777777" w:rsidR="00BC5284" w:rsidRDefault="00BC5284">
      <w:pPr>
        <w:pStyle w:val="ToCStyle2Boldtext-CapsLC"/>
        <w:tabs>
          <w:tab w:val="clear" w:pos="283"/>
          <w:tab w:val="clear" w:pos="680"/>
        </w:tabs>
      </w:pPr>
      <w:r>
        <w:t>HCOANZ</w:t>
      </w:r>
      <w:r>
        <w:tab/>
        <w:t>Heritage Chairs and Officials of Australia and New Zealand</w:t>
      </w:r>
      <w:r>
        <w:tab/>
      </w:r>
    </w:p>
    <w:p w14:paraId="6C813AD8" w14:textId="77777777" w:rsidR="00BC5284" w:rsidRDefault="00BC5284">
      <w:pPr>
        <w:pStyle w:val="ToCStyle2Boldtext-CapsLC"/>
        <w:tabs>
          <w:tab w:val="clear" w:pos="283"/>
          <w:tab w:val="clear" w:pos="680"/>
        </w:tabs>
      </w:pPr>
      <w:r>
        <w:t>HCV</w:t>
      </w:r>
      <w:r>
        <w:tab/>
        <w:t>Heritage Council of Victoria</w:t>
      </w:r>
      <w:r>
        <w:tab/>
      </w:r>
    </w:p>
    <w:p w14:paraId="34BB735F" w14:textId="77777777" w:rsidR="00BC5284" w:rsidRDefault="00BC5284">
      <w:pPr>
        <w:pStyle w:val="ToCStyle2Boldtext-CapsLC"/>
        <w:tabs>
          <w:tab w:val="clear" w:pos="283"/>
          <w:tab w:val="clear" w:pos="680"/>
        </w:tabs>
      </w:pPr>
      <w:r>
        <w:t>HELP</w:t>
      </w:r>
      <w:r>
        <w:tab/>
        <w:t>Heritage: Everything for Local Planning</w:t>
      </w:r>
      <w:r>
        <w:tab/>
      </w:r>
    </w:p>
    <w:p w14:paraId="1645C394" w14:textId="77777777" w:rsidR="00BC5284" w:rsidRDefault="00BC5284">
      <w:pPr>
        <w:pStyle w:val="ToCStyle2Boldtext-CapsLC"/>
        <w:tabs>
          <w:tab w:val="clear" w:pos="283"/>
          <w:tab w:val="clear" w:pos="680"/>
        </w:tabs>
      </w:pPr>
      <w:r>
        <w:t>HERCON</w:t>
      </w:r>
      <w:r>
        <w:tab/>
        <w:t>Heritage Convention</w:t>
      </w:r>
      <w:r>
        <w:tab/>
      </w:r>
    </w:p>
    <w:p w14:paraId="0D6CC3DC" w14:textId="77777777" w:rsidR="00BC5284" w:rsidRDefault="00BC5284">
      <w:pPr>
        <w:pStyle w:val="ToCStyle2Boldtext-CapsLC"/>
        <w:tabs>
          <w:tab w:val="clear" w:pos="283"/>
          <w:tab w:val="clear" w:pos="680"/>
        </w:tabs>
      </w:pPr>
      <w:r>
        <w:t>HERMES</w:t>
      </w:r>
      <w:r>
        <w:tab/>
        <w:t>HERitage Management Electronic System</w:t>
      </w:r>
      <w:r>
        <w:tab/>
      </w:r>
    </w:p>
    <w:p w14:paraId="20A28027" w14:textId="77777777" w:rsidR="00BC5284" w:rsidRDefault="00BC5284">
      <w:pPr>
        <w:pStyle w:val="ToCStyle2Boldtext-CapsLC"/>
        <w:tabs>
          <w:tab w:val="clear" w:pos="283"/>
          <w:tab w:val="clear" w:pos="680"/>
        </w:tabs>
      </w:pPr>
      <w:r>
        <w:t>HNM</w:t>
      </w:r>
      <w:r>
        <w:tab/>
        <w:t>Heritage Near Me</w:t>
      </w:r>
      <w:r>
        <w:tab/>
      </w:r>
    </w:p>
    <w:p w14:paraId="151B189C" w14:textId="77777777" w:rsidR="00BC5284" w:rsidRDefault="00BC5284">
      <w:pPr>
        <w:pStyle w:val="ToCStyle2Boldtext-CapsLC"/>
        <w:tabs>
          <w:tab w:val="clear" w:pos="283"/>
          <w:tab w:val="clear" w:pos="680"/>
        </w:tabs>
      </w:pPr>
      <w:r>
        <w:t>HO</w:t>
      </w:r>
      <w:r>
        <w:tab/>
        <w:t>Heritage Overlay</w:t>
      </w:r>
      <w:r>
        <w:tab/>
      </w:r>
    </w:p>
    <w:p w14:paraId="4B8BD43D" w14:textId="77777777" w:rsidR="00BC5284" w:rsidRDefault="00BC5284">
      <w:pPr>
        <w:pStyle w:val="ToCStyle2Boldtext-CapsLC"/>
        <w:tabs>
          <w:tab w:val="clear" w:pos="283"/>
          <w:tab w:val="clear" w:pos="680"/>
        </w:tabs>
      </w:pPr>
      <w:r>
        <w:t>HV</w:t>
      </w:r>
      <w:r>
        <w:tab/>
        <w:t>Heritage Victoria</w:t>
      </w:r>
      <w:r>
        <w:tab/>
      </w:r>
    </w:p>
    <w:p w14:paraId="4E5A1182" w14:textId="77777777" w:rsidR="00BC5284" w:rsidRDefault="00BC5284">
      <w:pPr>
        <w:pStyle w:val="ToCStyle2Boldtext-CapsLC"/>
        <w:tabs>
          <w:tab w:val="clear" w:pos="283"/>
          <w:tab w:val="clear" w:pos="680"/>
        </w:tabs>
      </w:pPr>
      <w:r>
        <w:t>ICOMOS</w:t>
      </w:r>
      <w:r>
        <w:tab/>
        <w:t>International Council on Monuments and Sites</w:t>
      </w:r>
      <w:r>
        <w:tab/>
      </w:r>
    </w:p>
    <w:p w14:paraId="705E90E6" w14:textId="77777777" w:rsidR="00BC5284" w:rsidRDefault="00BC5284">
      <w:pPr>
        <w:pStyle w:val="ToCStyle2Boldtext-CapsLC"/>
        <w:tabs>
          <w:tab w:val="clear" w:pos="283"/>
          <w:tab w:val="clear" w:pos="680"/>
        </w:tabs>
      </w:pPr>
      <w:r>
        <w:t>LGA</w:t>
      </w:r>
      <w:r>
        <w:tab/>
        <w:t>Local Government Area</w:t>
      </w:r>
      <w:r>
        <w:tab/>
      </w:r>
    </w:p>
    <w:p w14:paraId="76E9BE3D" w14:textId="77777777" w:rsidR="00BC5284" w:rsidRDefault="00BC5284">
      <w:pPr>
        <w:pStyle w:val="ToCStyle2Boldtext-CapsLC"/>
        <w:tabs>
          <w:tab w:val="clear" w:pos="283"/>
          <w:tab w:val="clear" w:pos="680"/>
        </w:tabs>
      </w:pPr>
      <w:r>
        <w:t>LGSC</w:t>
      </w:r>
      <w:r>
        <w:tab/>
        <w:t>Local Government Specialist Committee (Heritage Council of Victoria)</w:t>
      </w:r>
      <w:r>
        <w:tab/>
      </w:r>
    </w:p>
    <w:p w14:paraId="00341F94" w14:textId="77777777" w:rsidR="00BC5284" w:rsidRDefault="00BC5284">
      <w:pPr>
        <w:pStyle w:val="ToCStyle2Boldtext-CapsLC"/>
        <w:tabs>
          <w:tab w:val="clear" w:pos="283"/>
          <w:tab w:val="clear" w:pos="680"/>
        </w:tabs>
      </w:pPr>
      <w:r>
        <w:t>LHGP</w:t>
      </w:r>
      <w:r>
        <w:tab/>
        <w:t>Living Heritage Grants Program</w:t>
      </w:r>
      <w:r>
        <w:tab/>
      </w:r>
    </w:p>
    <w:p w14:paraId="6AAC1627" w14:textId="77777777" w:rsidR="00BC5284" w:rsidRDefault="00BC5284">
      <w:pPr>
        <w:pStyle w:val="ToCStyle2Boldtext-CapsLC"/>
        <w:tabs>
          <w:tab w:val="clear" w:pos="283"/>
          <w:tab w:val="clear" w:pos="680"/>
        </w:tabs>
      </w:pPr>
      <w:r>
        <w:t>MAV</w:t>
      </w:r>
      <w:r>
        <w:tab/>
        <w:t>Municipal Association of Victoria</w:t>
      </w:r>
      <w:r>
        <w:tab/>
      </w:r>
    </w:p>
    <w:p w14:paraId="66DAC882" w14:textId="77777777" w:rsidR="00BC5284" w:rsidRDefault="00BC5284">
      <w:pPr>
        <w:pStyle w:val="ToCStyle2Boldtext-CapsLC"/>
        <w:tabs>
          <w:tab w:val="clear" w:pos="283"/>
          <w:tab w:val="clear" w:pos="680"/>
        </w:tabs>
      </w:pPr>
      <w:r>
        <w:t>NHL</w:t>
      </w:r>
      <w:r>
        <w:tab/>
        <w:t>National Heritage List</w:t>
      </w:r>
      <w:r>
        <w:tab/>
      </w:r>
    </w:p>
    <w:p w14:paraId="724B127E" w14:textId="77777777" w:rsidR="00BC5284" w:rsidRDefault="00BC5284">
      <w:pPr>
        <w:pStyle w:val="ToCStyle2Boldtext-CapsLC"/>
        <w:tabs>
          <w:tab w:val="clear" w:pos="283"/>
          <w:tab w:val="clear" w:pos="680"/>
        </w:tabs>
      </w:pPr>
      <w:r>
        <w:t>NT</w:t>
      </w:r>
      <w:r>
        <w:tab/>
        <w:t>National Trust of Australia</w:t>
      </w:r>
      <w:r>
        <w:tab/>
      </w:r>
    </w:p>
    <w:p w14:paraId="451161DC" w14:textId="77777777" w:rsidR="00BC5284" w:rsidRDefault="00BC5284">
      <w:pPr>
        <w:pStyle w:val="ToCStyle2Boldtext-CapsLC"/>
        <w:tabs>
          <w:tab w:val="clear" w:pos="283"/>
          <w:tab w:val="clear" w:pos="680"/>
        </w:tabs>
      </w:pPr>
      <w:r>
        <w:t>PIA</w:t>
      </w:r>
      <w:r>
        <w:tab/>
        <w:t>Planning Institute of Australia</w:t>
      </w:r>
      <w:r>
        <w:tab/>
      </w:r>
    </w:p>
    <w:p w14:paraId="46E418F3" w14:textId="77777777" w:rsidR="00BC5284" w:rsidRDefault="00BC5284">
      <w:pPr>
        <w:pStyle w:val="ToCStyle2Boldtext-CapsLC"/>
        <w:tabs>
          <w:tab w:val="clear" w:pos="283"/>
          <w:tab w:val="clear" w:pos="680"/>
        </w:tabs>
      </w:pPr>
      <w:r>
        <w:t>PPN</w:t>
      </w:r>
      <w:r>
        <w:tab/>
        <w:t>Planning Practice Note</w:t>
      </w:r>
      <w:r>
        <w:tab/>
      </w:r>
    </w:p>
    <w:p w14:paraId="379E0EED" w14:textId="77777777" w:rsidR="00BC5284" w:rsidRDefault="00BC5284">
      <w:pPr>
        <w:pStyle w:val="ToCStyle2Boldtext-CapsLC"/>
        <w:tabs>
          <w:tab w:val="clear" w:pos="283"/>
          <w:tab w:val="clear" w:pos="680"/>
        </w:tabs>
      </w:pPr>
      <w:r>
        <w:t>PPV</w:t>
      </w:r>
      <w:r>
        <w:tab/>
        <w:t>Planning Panels Victoria</w:t>
      </w:r>
      <w:r>
        <w:tab/>
      </w:r>
    </w:p>
    <w:p w14:paraId="45AF5C1C" w14:textId="77777777" w:rsidR="00BC5284" w:rsidRDefault="00BC5284">
      <w:pPr>
        <w:pStyle w:val="ToCStyle2Boldtext-CapsLC"/>
        <w:tabs>
          <w:tab w:val="clear" w:pos="283"/>
          <w:tab w:val="clear" w:pos="680"/>
        </w:tabs>
      </w:pPr>
      <w:r>
        <w:t>RHSV</w:t>
      </w:r>
      <w:r>
        <w:tab/>
        <w:t>Royal Historical Society of Victoria Inc.</w:t>
      </w:r>
      <w:r>
        <w:tab/>
      </w:r>
    </w:p>
    <w:p w14:paraId="736D78FB" w14:textId="77777777" w:rsidR="00BC5284" w:rsidRDefault="00BC5284">
      <w:pPr>
        <w:pStyle w:val="ToCStyle2Boldtext-CapsLC"/>
        <w:tabs>
          <w:tab w:val="clear" w:pos="283"/>
          <w:tab w:val="clear" w:pos="680"/>
        </w:tabs>
      </w:pPr>
      <w:r>
        <w:t>RSC</w:t>
      </w:r>
      <w:r>
        <w:tab/>
        <w:t>Review Steering Committee</w:t>
      </w:r>
      <w:r>
        <w:tab/>
      </w:r>
    </w:p>
    <w:p w14:paraId="49C73B15" w14:textId="77777777" w:rsidR="00BC5284" w:rsidRDefault="00BC5284">
      <w:pPr>
        <w:pStyle w:val="ToCStyle2Boldtext-CapsLC"/>
        <w:tabs>
          <w:tab w:val="clear" w:pos="283"/>
          <w:tab w:val="clear" w:pos="680"/>
        </w:tabs>
      </w:pPr>
      <w:r>
        <w:t>UNESCO</w:t>
      </w:r>
      <w:r>
        <w:tab/>
        <w:t>United Nations Educational, Scientific and Cultural Organization</w:t>
      </w:r>
      <w:r>
        <w:tab/>
      </w:r>
    </w:p>
    <w:p w14:paraId="7B325EE1" w14:textId="77777777" w:rsidR="00BC5284" w:rsidRDefault="00BC5284">
      <w:pPr>
        <w:pStyle w:val="ToCStyle2Boldtext-CapsLC"/>
        <w:tabs>
          <w:tab w:val="clear" w:pos="283"/>
          <w:tab w:val="clear" w:pos="680"/>
        </w:tabs>
      </w:pPr>
      <w:r>
        <w:t>VCAT</w:t>
      </w:r>
      <w:r>
        <w:tab/>
        <w:t>Victorian Civil and Administrative Tribunal</w:t>
      </w:r>
      <w:r>
        <w:tab/>
      </w:r>
    </w:p>
    <w:p w14:paraId="566EDE2A" w14:textId="77777777" w:rsidR="00BC5284" w:rsidRDefault="00BC5284">
      <w:pPr>
        <w:pStyle w:val="ToCStyle2Boldtext-CapsLC"/>
        <w:tabs>
          <w:tab w:val="clear" w:pos="283"/>
          <w:tab w:val="clear" w:pos="680"/>
        </w:tabs>
      </w:pPr>
      <w:r>
        <w:t>VHD</w:t>
      </w:r>
      <w:r>
        <w:tab/>
        <w:t>Victorian Heritage Database</w:t>
      </w:r>
      <w:r>
        <w:tab/>
      </w:r>
    </w:p>
    <w:p w14:paraId="764DD7FB" w14:textId="77777777" w:rsidR="00BC5284" w:rsidRDefault="00BC5284">
      <w:pPr>
        <w:pStyle w:val="ToCStyle2Boldtext-CapsLC"/>
        <w:tabs>
          <w:tab w:val="clear" w:pos="283"/>
          <w:tab w:val="clear" w:pos="680"/>
        </w:tabs>
      </w:pPr>
      <w:r>
        <w:t>VHI</w:t>
      </w:r>
      <w:r>
        <w:tab/>
        <w:t>Victorian Heritage Inventory</w:t>
      </w:r>
      <w:r>
        <w:tab/>
      </w:r>
    </w:p>
    <w:p w14:paraId="2363B983" w14:textId="77777777" w:rsidR="00BC5284" w:rsidRDefault="00BC5284">
      <w:pPr>
        <w:pStyle w:val="ToCStyle2Boldtext-CapsLC"/>
        <w:tabs>
          <w:tab w:val="clear" w:pos="283"/>
          <w:tab w:val="clear" w:pos="680"/>
        </w:tabs>
      </w:pPr>
      <w:r>
        <w:t>VHR</w:t>
      </w:r>
      <w:r>
        <w:tab/>
        <w:t>Victorian Heritage Register</w:t>
      </w:r>
      <w:r>
        <w:tab/>
      </w:r>
    </w:p>
    <w:p w14:paraId="43D09DD9" w14:textId="77777777" w:rsidR="00BC5284" w:rsidRDefault="00BC5284">
      <w:pPr>
        <w:pStyle w:val="ToCStyle2Boldtext-CapsLC"/>
        <w:tabs>
          <w:tab w:val="clear" w:pos="283"/>
          <w:tab w:val="clear" w:pos="680"/>
        </w:tabs>
      </w:pPr>
      <w:r>
        <w:t>VPP</w:t>
      </w:r>
      <w:r>
        <w:tab/>
        <w:t>Victoria Planning Provisions</w:t>
      </w:r>
      <w:r>
        <w:tab/>
      </w:r>
    </w:p>
    <w:p w14:paraId="35445DB5" w14:textId="77777777" w:rsidR="00BC5284" w:rsidRDefault="00BC5284">
      <w:pPr>
        <w:pStyle w:val="ToCStyle2Boldtext-CapsLC"/>
        <w:tabs>
          <w:tab w:val="clear" w:pos="283"/>
          <w:tab w:val="clear" w:pos="680"/>
        </w:tabs>
      </w:pPr>
    </w:p>
    <w:p w14:paraId="1ACBB45C" w14:textId="77777777" w:rsidR="00BC5284" w:rsidRDefault="00BC5284">
      <w:pPr>
        <w:pStyle w:val="ChapterHeading"/>
        <w:rPr>
          <w:color w:val="000000"/>
        </w:rPr>
      </w:pPr>
      <w:r>
        <w:rPr>
          <w:color w:val="000000"/>
        </w:rPr>
        <w:t>Executive summary</w:t>
      </w:r>
    </w:p>
    <w:p w14:paraId="13D2EB77" w14:textId="77777777" w:rsidR="00BC5284" w:rsidRDefault="00BC5284">
      <w:pPr>
        <w:pStyle w:val="Headingsubtitle1-notinToC"/>
        <w:rPr>
          <w:color w:val="000000"/>
        </w:rPr>
      </w:pPr>
      <w:r>
        <w:rPr>
          <w:color w:val="000000"/>
        </w:rPr>
        <w:t>Background</w:t>
      </w:r>
    </w:p>
    <w:p w14:paraId="1D9FF6FE" w14:textId="77777777" w:rsidR="00BC5284" w:rsidRDefault="00BC5284">
      <w:pPr>
        <w:pStyle w:val="Text"/>
      </w:pPr>
      <w:r>
        <w:lastRenderedPageBreak/>
        <w:t>In 2017, the Heritage Council commissioned a feasibility study to assess the need for a Victorian Heritage Strategy. The feasibility study identified five areas requiring attention, the first and most significant of which was that of local heritage.</w:t>
      </w:r>
    </w:p>
    <w:p w14:paraId="1CD3420C" w14:textId="77777777" w:rsidR="00BC5284" w:rsidRDefault="00BC5284">
      <w:pPr>
        <w:pStyle w:val="Text"/>
      </w:pPr>
      <w:r>
        <w:t>The Heritage Council resolved to use its advisory functions to investigate the local heritage system and identify opportunities for its improvement, commencing with the State of Heritage Review: Local Heritage (the ‘Review’) project in 2018.</w:t>
      </w:r>
    </w:p>
    <w:p w14:paraId="6F997CAE" w14:textId="77777777" w:rsidR="00BC5284" w:rsidRDefault="00BC5284">
      <w:pPr>
        <w:pStyle w:val="Headingsubtitle1-notinToC"/>
        <w:rPr>
          <w:color w:val="000000"/>
        </w:rPr>
      </w:pPr>
      <w:r>
        <w:rPr>
          <w:color w:val="000000"/>
        </w:rPr>
        <w:t>Project scope</w:t>
      </w:r>
    </w:p>
    <w:p w14:paraId="6E51137F" w14:textId="77777777" w:rsidR="00BC5284" w:rsidRDefault="00BC5284">
      <w:pPr>
        <w:pStyle w:val="Text"/>
      </w:pPr>
      <w:r>
        <w:t>The Review has four objectives:</w:t>
      </w:r>
    </w:p>
    <w:p w14:paraId="3765EBBE" w14:textId="77777777" w:rsidR="00BC5284" w:rsidRDefault="00BC5284">
      <w:pPr>
        <w:pStyle w:val="TextBulletsPara"/>
      </w:pPr>
      <w:r>
        <w:rPr>
          <w:rStyle w:val="TextBullet"/>
        </w:rPr>
        <w:t>•</w:t>
      </w:r>
      <w:r>
        <w:rPr>
          <w:rStyle w:val="TextBullet"/>
        </w:rPr>
        <w:tab/>
      </w:r>
      <w:r>
        <w:t>to create a clear picture of the current arrangements for local cultural heritage across the State that can be used as a point of comparison in future years</w:t>
      </w:r>
    </w:p>
    <w:p w14:paraId="5C11B48F" w14:textId="77777777" w:rsidR="00BC5284" w:rsidRDefault="00BC5284">
      <w:pPr>
        <w:pStyle w:val="TextBulletsPara"/>
      </w:pPr>
      <w:r>
        <w:rPr>
          <w:rStyle w:val="TextBullet"/>
        </w:rPr>
        <w:t>•</w:t>
      </w:r>
      <w:r>
        <w:rPr>
          <w:rStyle w:val="TextBullet"/>
        </w:rPr>
        <w:tab/>
      </w:r>
      <w:r>
        <w:t>to recommend tangible and practical opportunities for enhancing and improving the way State and local governments work together to recognise, protect and manage local cultural heritage, and anticipate and prepare for future challenges</w:t>
      </w:r>
    </w:p>
    <w:p w14:paraId="2E48B84D" w14:textId="77777777" w:rsidR="00BC5284" w:rsidRDefault="00BC5284">
      <w:pPr>
        <w:pStyle w:val="TextBulletsPara"/>
      </w:pPr>
      <w:r>
        <w:rPr>
          <w:rStyle w:val="TextBullet"/>
        </w:rPr>
        <w:t>•</w:t>
      </w:r>
      <w:r>
        <w:rPr>
          <w:rStyle w:val="TextBullet"/>
        </w:rPr>
        <w:tab/>
      </w:r>
      <w:r>
        <w:t>to improve community understanding of the benefits of local and State cultural heritage protection and demystify the current arrangements</w:t>
      </w:r>
    </w:p>
    <w:p w14:paraId="36D34075" w14:textId="77777777" w:rsidR="00BC5284" w:rsidRDefault="00BC5284">
      <w:pPr>
        <w:pStyle w:val="TextBulletsPara"/>
      </w:pPr>
      <w:r>
        <w:rPr>
          <w:rStyle w:val="TextBullet"/>
        </w:rPr>
        <w:t>•</w:t>
      </w:r>
      <w:r>
        <w:rPr>
          <w:rStyle w:val="TextBullet"/>
        </w:rPr>
        <w:tab/>
      </w:r>
      <w:r>
        <w:t>to promote and encourage good heritage practice across government and within the broader community by showcasing best-practice examples of local cultural heritage management.</w:t>
      </w:r>
    </w:p>
    <w:p w14:paraId="615CA437" w14:textId="77777777" w:rsidR="00BC5284" w:rsidRDefault="00BC5284">
      <w:pPr>
        <w:pStyle w:val="Text"/>
      </w:pPr>
      <w:r>
        <w:t>The Review has two key deliverables:</w:t>
      </w:r>
    </w:p>
    <w:p w14:paraId="3A14B868" w14:textId="77777777" w:rsidR="00BC5284" w:rsidRDefault="00BC5284">
      <w:pPr>
        <w:pStyle w:val="TextBulletsPara"/>
      </w:pPr>
      <w:r>
        <w:rPr>
          <w:rStyle w:val="TextBullet"/>
        </w:rPr>
        <w:t>•</w:t>
      </w:r>
      <w:r>
        <w:rPr>
          <w:rStyle w:val="TextBullet"/>
        </w:rPr>
        <w:tab/>
      </w:r>
      <w:r>
        <w:t>this formal report</w:t>
      </w:r>
    </w:p>
    <w:p w14:paraId="47F3533C" w14:textId="77777777" w:rsidR="00BC5284" w:rsidRDefault="00BC5284">
      <w:pPr>
        <w:pStyle w:val="TextBulletsPara"/>
      </w:pPr>
      <w:r>
        <w:rPr>
          <w:rStyle w:val="TextBullet"/>
        </w:rPr>
        <w:t>•</w:t>
      </w:r>
      <w:r>
        <w:rPr>
          <w:rStyle w:val="TextBullet"/>
        </w:rPr>
        <w:tab/>
      </w:r>
      <w:r>
        <w:t>a promotional program that showcases best-practice local cultural heritage protection and management, and the benefits that appreciation and protection of heritage can bring to local communities.</w:t>
      </w:r>
    </w:p>
    <w:p w14:paraId="5CCCFC63" w14:textId="77777777" w:rsidR="00BC5284" w:rsidRDefault="00BC5284">
      <w:pPr>
        <w:pStyle w:val="Headingsubtitle1-notinToC"/>
        <w:rPr>
          <w:color w:val="000000"/>
        </w:rPr>
      </w:pPr>
      <w:r>
        <w:rPr>
          <w:color w:val="000000"/>
        </w:rPr>
        <w:t>Investigation process</w:t>
      </w:r>
    </w:p>
    <w:p w14:paraId="3EFB48C4" w14:textId="77777777" w:rsidR="00BC5284" w:rsidRDefault="00BC5284">
      <w:pPr>
        <w:pStyle w:val="Text"/>
      </w:pPr>
      <w:r>
        <w:t>The Review’s research focused primarily on input from those at the heart of local heritage protection and management: local council planners and/or heritage officers. The views of the wider heritage community were also sought.</w:t>
      </w:r>
    </w:p>
    <w:p w14:paraId="49236922" w14:textId="77777777" w:rsidR="00BC5284" w:rsidRDefault="00BC5284">
      <w:pPr>
        <w:pStyle w:val="Text"/>
      </w:pPr>
      <w:r>
        <w:t>Information was gathered through a variety of different means:</w:t>
      </w:r>
    </w:p>
    <w:p w14:paraId="6E8526B3" w14:textId="77777777" w:rsidR="00BC5284" w:rsidRDefault="00BC5284">
      <w:pPr>
        <w:pStyle w:val="TextBulletsPara"/>
      </w:pPr>
      <w:r>
        <w:rPr>
          <w:rStyle w:val="TextBullet"/>
        </w:rPr>
        <w:t>•</w:t>
      </w:r>
      <w:r>
        <w:rPr>
          <w:rStyle w:val="TextBullet"/>
        </w:rPr>
        <w:tab/>
      </w:r>
      <w:r>
        <w:t xml:space="preserve">A ‘council survey’ was sent to representatives from all 79 Victorian councils and all four alpine resort management boards to learn of their local heritage arrangements and opinions of the system. A total of </w:t>
      </w:r>
      <w:r>
        <w:br/>
        <w:t xml:space="preserve">80 responses were received; all 79 councils (100% response rate) and one board (25% response rate) completed the survey. </w:t>
      </w:r>
    </w:p>
    <w:p w14:paraId="052A89B5" w14:textId="77777777" w:rsidR="00BC5284" w:rsidRDefault="00BC5284">
      <w:pPr>
        <w:pStyle w:val="TextBulletsPara"/>
      </w:pPr>
      <w:r>
        <w:rPr>
          <w:rStyle w:val="TextBullet"/>
        </w:rPr>
        <w:t>•</w:t>
      </w:r>
      <w:r>
        <w:rPr>
          <w:rStyle w:val="TextBullet"/>
        </w:rPr>
        <w:tab/>
      </w:r>
      <w:r>
        <w:t>A ‘community survey’ was sent to representatives from the heritage community to learn of their opinions of the system. A total of 123 responses were received.</w:t>
      </w:r>
    </w:p>
    <w:p w14:paraId="4BF18ECA" w14:textId="77777777" w:rsidR="00BC5284" w:rsidRDefault="00BC5284">
      <w:pPr>
        <w:pStyle w:val="TextBulletsPara"/>
      </w:pPr>
      <w:r>
        <w:rPr>
          <w:rStyle w:val="TextBullet"/>
        </w:rPr>
        <w:t>•</w:t>
      </w:r>
      <w:r>
        <w:rPr>
          <w:rStyle w:val="TextBullet"/>
        </w:rPr>
        <w:tab/>
      </w:r>
      <w:r>
        <w:t>Desktop reviews were undertaken to investigate the number of heritage studies and Heritage Overlays in Victoria, as well as interstate heritage systems and programs of support for local heritage. Follow-up interviews were conducted with representatives from interstate heritage bodies to better understand these support programs.</w:t>
      </w:r>
    </w:p>
    <w:p w14:paraId="0CFFB167" w14:textId="77777777" w:rsidR="00BC5284" w:rsidRDefault="00BC5284">
      <w:pPr>
        <w:pStyle w:val="TextBulletsPara"/>
      </w:pPr>
      <w:r>
        <w:rPr>
          <w:rStyle w:val="TextBullet"/>
        </w:rPr>
        <w:t>•</w:t>
      </w:r>
      <w:r>
        <w:rPr>
          <w:rStyle w:val="TextBullet"/>
        </w:rPr>
        <w:tab/>
      </w:r>
      <w:r>
        <w:t xml:space="preserve">Interviews were conducted with representatives from 10 Victorian councils that have local heritage </w:t>
      </w:r>
      <w:r>
        <w:rPr>
          <w:spacing w:val="-1"/>
        </w:rPr>
        <w:t>arrangements that can be considered best practice or an</w:t>
      </w:r>
      <w:r>
        <w:t xml:space="preserve"> innovative practice. These interviews formed the basis of the case studies found in Chapter 3 of this report.</w:t>
      </w:r>
    </w:p>
    <w:p w14:paraId="484583F9" w14:textId="77777777" w:rsidR="00BC5284" w:rsidRDefault="00BC5284">
      <w:pPr>
        <w:pStyle w:val="TextBulletsPara"/>
      </w:pPr>
      <w:r>
        <w:rPr>
          <w:rStyle w:val="TextBullet"/>
        </w:rPr>
        <w:t>•</w:t>
      </w:r>
      <w:r>
        <w:rPr>
          <w:rStyle w:val="TextBullet"/>
        </w:rPr>
        <w:tab/>
      </w:r>
      <w:r>
        <w:t xml:space="preserve">Four full-day workshops were held across the State </w:t>
      </w:r>
      <w:r>
        <w:rPr>
          <w:spacing w:val="-2"/>
        </w:rPr>
        <w:t>(two in Melbourne, one in Traralgon and one in Ballarat)</w:t>
      </w:r>
      <w:r>
        <w:t xml:space="preserve"> to develop potential solutions to the main issues identified in the surveys. A total of 66 people from 45 different organisations, including 41 local councils, DELWP and Heritage Victoria, attended the workshops.</w:t>
      </w:r>
    </w:p>
    <w:p w14:paraId="2DE4D335" w14:textId="77777777" w:rsidR="00BC5284" w:rsidRDefault="00BC5284">
      <w:pPr>
        <w:pStyle w:val="TextBulletsPara"/>
      </w:pPr>
      <w:r>
        <w:rPr>
          <w:rStyle w:val="TextBullet"/>
        </w:rPr>
        <w:t>•</w:t>
      </w:r>
      <w:r>
        <w:rPr>
          <w:rStyle w:val="TextBullet"/>
        </w:rPr>
        <w:tab/>
      </w:r>
      <w:r>
        <w:t>One half-day workshop was held in Melbourne with a selection of representatives from the heritage community, including heritage consultants and advisors, the Royal Historical Society of Victoria and the National Trust, to develop potential solutions to the main issues identified in the surveys.</w:t>
      </w:r>
    </w:p>
    <w:p w14:paraId="3E87535F" w14:textId="77777777" w:rsidR="00BC5284" w:rsidRDefault="00BC5284">
      <w:pPr>
        <w:pStyle w:val="Headingsubtitle1-notinToC"/>
        <w:rPr>
          <w:color w:val="000000"/>
        </w:rPr>
      </w:pPr>
      <w:r>
        <w:rPr>
          <w:color w:val="000000"/>
        </w:rPr>
        <w:t>Key findings</w:t>
      </w:r>
    </w:p>
    <w:p w14:paraId="68964969" w14:textId="77777777" w:rsidR="00BC5284" w:rsidRDefault="00BC5284">
      <w:pPr>
        <w:pStyle w:val="Text"/>
      </w:pPr>
      <w:r>
        <w:lastRenderedPageBreak/>
        <w:t>The report identifies many areas in the current local heritage system that are working well:</w:t>
      </w:r>
    </w:p>
    <w:p w14:paraId="688B428B" w14:textId="77777777" w:rsidR="00BC5284" w:rsidRDefault="00BC5284">
      <w:pPr>
        <w:pStyle w:val="TextBulletsPara"/>
      </w:pPr>
      <w:r>
        <w:rPr>
          <w:rStyle w:val="TextBullet"/>
        </w:rPr>
        <w:t>•</w:t>
      </w:r>
      <w:r>
        <w:rPr>
          <w:rStyle w:val="TextBullet"/>
        </w:rPr>
        <w:tab/>
      </w:r>
      <w:r>
        <w:t>Almost all councils (96%) have completed a stage 2 heritage study to assess places of local significance. Some councils have undertaken heritage studies to identify place-types not commonly investigated, including post-war heritage.</w:t>
      </w:r>
    </w:p>
    <w:p w14:paraId="4184C2EF" w14:textId="77777777" w:rsidR="00BC5284" w:rsidRDefault="00BC5284">
      <w:pPr>
        <w:pStyle w:val="TextBulletsPara"/>
      </w:pPr>
      <w:r>
        <w:rPr>
          <w:rStyle w:val="TextBullet"/>
        </w:rPr>
        <w:t>•</w:t>
      </w:r>
      <w:r>
        <w:rPr>
          <w:rStyle w:val="TextBullet"/>
        </w:rPr>
        <w:tab/>
      </w:r>
      <w:r>
        <w:t xml:space="preserve">The Heritage Overlay is protecting local heritage. As of 5 April 2019, there were 21,419 Heritage Overlays in Victoria, protecting more than 186,000 properties. </w:t>
      </w:r>
    </w:p>
    <w:p w14:paraId="1D372F01" w14:textId="77777777" w:rsidR="00BC5284" w:rsidRDefault="00BC5284">
      <w:pPr>
        <w:pStyle w:val="TextBulletsPara"/>
      </w:pPr>
      <w:r>
        <w:rPr>
          <w:rStyle w:val="TextBullet"/>
        </w:rPr>
        <w:t>•</w:t>
      </w:r>
      <w:r>
        <w:rPr>
          <w:rStyle w:val="TextBullet"/>
        </w:rPr>
        <w:tab/>
      </w:r>
      <w:r>
        <w:t>Survey respondents identified the protection that is provided through the Heritage Overlay as the biggest strength of the local system.</w:t>
      </w:r>
    </w:p>
    <w:p w14:paraId="69130D95" w14:textId="77777777" w:rsidR="00BC5284" w:rsidRDefault="00BC5284">
      <w:pPr>
        <w:pStyle w:val="TextBulletsPara"/>
      </w:pPr>
      <w:r>
        <w:rPr>
          <w:rStyle w:val="TextBullet"/>
        </w:rPr>
        <w:t>•</w:t>
      </w:r>
      <w:r>
        <w:rPr>
          <w:rStyle w:val="TextBullet"/>
        </w:rPr>
        <w:tab/>
      </w:r>
      <w:r>
        <w:t>Many councils have measures in place to support local heritage property owners: 73% of all councils have a heritage advisor, while 35% of all councils offer some sort of financial incentive to owners.</w:t>
      </w:r>
    </w:p>
    <w:p w14:paraId="1AFCED44" w14:textId="77777777" w:rsidR="00BC5284" w:rsidRDefault="00BC5284">
      <w:pPr>
        <w:pStyle w:val="TextBulletsPara"/>
      </w:pPr>
      <w:r>
        <w:rPr>
          <w:rStyle w:val="TextBullet"/>
        </w:rPr>
        <w:t>•</w:t>
      </w:r>
      <w:r>
        <w:rPr>
          <w:rStyle w:val="TextBullet"/>
        </w:rPr>
        <w:tab/>
      </w:r>
      <w:r>
        <w:t>Many councils have mechanisms in place to communicate about and promote local heritage: 82% of all councils have a dedicated heritage webpage on their council website, while 47% of all councils run a heritage event to promote and celebrate their local heritage.</w:t>
      </w:r>
    </w:p>
    <w:p w14:paraId="7426FEE6" w14:textId="77777777" w:rsidR="00BC5284" w:rsidRDefault="00BC5284">
      <w:pPr>
        <w:pStyle w:val="Text"/>
      </w:pPr>
      <w:r>
        <w:t>The report also identifies a number of areas for improvement in the current local heritage system:</w:t>
      </w:r>
    </w:p>
    <w:p w14:paraId="170DBC69" w14:textId="77777777" w:rsidR="00BC5284" w:rsidRDefault="00BC5284">
      <w:pPr>
        <w:pStyle w:val="TextBulletsPara"/>
      </w:pPr>
      <w:r>
        <w:rPr>
          <w:rStyle w:val="TextBullet"/>
        </w:rPr>
        <w:t>•</w:t>
      </w:r>
      <w:r>
        <w:rPr>
          <w:rStyle w:val="TextBullet"/>
        </w:rPr>
        <w:tab/>
      </w:r>
      <w:r>
        <w:t>Local heritage is not always a primary consideration or priority within councils, often being seen as something ‘extra’ to the core components of planning.</w:t>
      </w:r>
    </w:p>
    <w:p w14:paraId="0501CF8E" w14:textId="77777777" w:rsidR="00BC5284" w:rsidRDefault="00BC5284">
      <w:pPr>
        <w:pStyle w:val="TextBulletsPara"/>
      </w:pPr>
      <w:r>
        <w:rPr>
          <w:rStyle w:val="TextBullet"/>
        </w:rPr>
        <w:t>•</w:t>
      </w:r>
      <w:r>
        <w:rPr>
          <w:rStyle w:val="TextBullet"/>
        </w:rPr>
        <w:tab/>
      </w:r>
      <w:r>
        <w:t>There is a need for increased direction from the State Government to better enable councils to both understand and effectively comply with their responsibilities to identify and protect local heritage. In particular, participants noted that:</w:t>
      </w:r>
    </w:p>
    <w:p w14:paraId="31843209" w14:textId="77777777" w:rsidR="00BC5284" w:rsidRDefault="00BC5284" w:rsidP="00BC5284">
      <w:pPr>
        <w:pStyle w:val="Text"/>
        <w:ind w:left="720" w:hanging="720"/>
      </w:pPr>
      <w:r>
        <w:tab/>
      </w:r>
      <w:r>
        <w:tab/>
        <w:t>–</w:t>
      </w:r>
      <w:r>
        <w:tab/>
        <w:t>there is no-one to speak to for consistent direction regarding their obligations for protecting and managing local heritage or for advice on how to best protect and manage their local heritage</w:t>
      </w:r>
    </w:p>
    <w:p w14:paraId="378046A2" w14:textId="77777777" w:rsidR="00BC5284" w:rsidRDefault="00BC5284" w:rsidP="00BC5284">
      <w:pPr>
        <w:pStyle w:val="Text"/>
        <w:ind w:left="720" w:hanging="720"/>
      </w:pPr>
      <w:r>
        <w:tab/>
      </w:r>
      <w:r>
        <w:tab/>
        <w:t>–</w:t>
      </w:r>
      <w:r>
        <w:tab/>
        <w:t>existing guidance material to support efficient best-practice local heritage management and protection is often out of date, hard to find and doesn’t include information required in today’s more complex planning environment</w:t>
      </w:r>
    </w:p>
    <w:p w14:paraId="4F2273A4" w14:textId="77777777" w:rsidR="00BC5284" w:rsidRDefault="00BC5284" w:rsidP="00BC5284">
      <w:pPr>
        <w:pStyle w:val="Text"/>
        <w:ind w:left="720" w:hanging="720"/>
      </w:pPr>
      <w:r>
        <w:tab/>
      </w:r>
      <w:r>
        <w:tab/>
        <w:t>–</w:t>
      </w:r>
      <w:r>
        <w:tab/>
        <w:t>council planners often operate in isolation with no prior background in heritage and struggle to know what best practice is, where to find the right information/guidance and how to assess the quality of the advice they receive from consultants.</w:t>
      </w:r>
    </w:p>
    <w:p w14:paraId="77BB3CA8" w14:textId="77777777" w:rsidR="00BC5284" w:rsidRDefault="00BC5284">
      <w:pPr>
        <w:pStyle w:val="TextBulletsPara"/>
      </w:pPr>
      <w:r>
        <w:rPr>
          <w:rStyle w:val="TextBullet"/>
        </w:rPr>
        <w:t>•</w:t>
      </w:r>
      <w:r>
        <w:rPr>
          <w:rStyle w:val="TextBullet"/>
        </w:rPr>
        <w:tab/>
      </w:r>
      <w:r>
        <w:t>A base-level of heritage protection is still to be achieved across the State: 4% of all councils are yet to complete a stage 2 heritage study; nearly 10% are yet to translate any studies into the Heritage Overlay; and nearly 20% identified geographic gaps in their studies.</w:t>
      </w:r>
    </w:p>
    <w:p w14:paraId="6512F051" w14:textId="77777777" w:rsidR="00BC5284" w:rsidRDefault="00BC5284">
      <w:pPr>
        <w:pStyle w:val="Headingsubtitle1-notinToC"/>
        <w:rPr>
          <w:color w:val="000000"/>
        </w:rPr>
      </w:pPr>
      <w:r>
        <w:rPr>
          <w:color w:val="000000"/>
        </w:rPr>
        <w:t>Recommendations and implementation</w:t>
      </w:r>
    </w:p>
    <w:p w14:paraId="229A33DC" w14:textId="77777777" w:rsidR="00BC5284" w:rsidRDefault="00BC5284">
      <w:pPr>
        <w:pStyle w:val="Text"/>
      </w:pPr>
      <w:r>
        <w:t>The report recommends one major strategic initiative: revitalisation of the State’s role in providing leadership in the protection and management of local heritage. This initiative is supported by three principal pillars:</w:t>
      </w:r>
    </w:p>
    <w:p w14:paraId="10C44FFF" w14:textId="77777777" w:rsidR="00BC5284" w:rsidRDefault="00BC5284">
      <w:pPr>
        <w:pStyle w:val="TextBulletsPara"/>
      </w:pPr>
      <w:r>
        <w:rPr>
          <w:rStyle w:val="TextBullet"/>
        </w:rPr>
        <w:t>•</w:t>
      </w:r>
      <w:r>
        <w:rPr>
          <w:rStyle w:val="TextBullet"/>
        </w:rPr>
        <w:tab/>
      </w:r>
      <w:r>
        <w:t>the establishment of dedicated local heritage roles within DELWP Planning to provide necessary focused leadership and direction</w:t>
      </w:r>
    </w:p>
    <w:p w14:paraId="563DB1A4" w14:textId="77777777" w:rsidR="00BC5284" w:rsidRDefault="00BC5284">
      <w:pPr>
        <w:pStyle w:val="TextBulletsPara"/>
      </w:pPr>
      <w:r>
        <w:rPr>
          <w:rStyle w:val="TextBullet"/>
        </w:rPr>
        <w:t>•</w:t>
      </w:r>
      <w:r>
        <w:rPr>
          <w:rStyle w:val="TextBullet"/>
        </w:rPr>
        <w:tab/>
      </w:r>
      <w:r>
        <w:t>the creation and maintenance of a centralised, up-to-date repository of clear and consistent guidance material</w:t>
      </w:r>
    </w:p>
    <w:p w14:paraId="17D4CFC6" w14:textId="77777777" w:rsidR="00BC5284" w:rsidRDefault="00BC5284">
      <w:pPr>
        <w:pStyle w:val="TextBulletsPara"/>
      </w:pPr>
      <w:r>
        <w:rPr>
          <w:rStyle w:val="TextBullet"/>
        </w:rPr>
        <w:t>•</w:t>
      </w:r>
      <w:r>
        <w:rPr>
          <w:rStyle w:val="TextBullet"/>
        </w:rPr>
        <w:tab/>
      </w:r>
      <w:r>
        <w:t>direct support and assistance to ensure base-level heritage studies are completed and translated into the planning scheme.</w:t>
      </w:r>
    </w:p>
    <w:p w14:paraId="5A33A7AF" w14:textId="77777777" w:rsidR="00BC5284" w:rsidRDefault="00BC5284">
      <w:pPr>
        <w:pStyle w:val="Text"/>
      </w:pPr>
      <w:r>
        <w:t>This initiative is outside of the Heritage Council’s ability to deliver and will require support from the Minister for Planning and agreement from DELWP Planning to implement. However, the initiative will best ensure long-term solutions to the identified problems and reinforce the strengths of the current system.</w:t>
      </w:r>
    </w:p>
    <w:p w14:paraId="0AB4CCBA" w14:textId="77777777" w:rsidR="00BC5284" w:rsidRDefault="00BC5284">
      <w:pPr>
        <w:pStyle w:val="Text"/>
      </w:pPr>
      <w:r>
        <w:t>The report also recommends eight smaller initiatives or ‘practical improvements’ to address a number of other identified issues:</w:t>
      </w:r>
    </w:p>
    <w:p w14:paraId="551EC17A" w14:textId="77777777" w:rsidR="00BC5284" w:rsidRDefault="00BC5284">
      <w:pPr>
        <w:pStyle w:val="TextBulletsPara"/>
      </w:pPr>
      <w:r>
        <w:rPr>
          <w:rStyle w:val="TextBullet"/>
        </w:rPr>
        <w:t>•</w:t>
      </w:r>
      <w:r>
        <w:rPr>
          <w:rStyle w:val="TextBullet"/>
        </w:rPr>
        <w:tab/>
      </w:r>
      <w:r>
        <w:t>development of a ‘demolition by neglect’ model local law</w:t>
      </w:r>
    </w:p>
    <w:p w14:paraId="17F15138" w14:textId="77777777" w:rsidR="00BC5284" w:rsidRDefault="00BC5284">
      <w:pPr>
        <w:pStyle w:val="TextBulletsPara"/>
      </w:pPr>
      <w:r>
        <w:rPr>
          <w:rStyle w:val="TextBullet"/>
        </w:rPr>
        <w:t>•</w:t>
      </w:r>
      <w:r>
        <w:rPr>
          <w:rStyle w:val="TextBullet"/>
        </w:rPr>
        <w:tab/>
      </w:r>
      <w:r>
        <w:t>creation of a ‘Heritage 101’ information pack for councils and the public</w:t>
      </w:r>
    </w:p>
    <w:p w14:paraId="1FC59A67" w14:textId="77777777" w:rsidR="00BC5284" w:rsidRDefault="00BC5284">
      <w:pPr>
        <w:pStyle w:val="TextBulletsPara"/>
      </w:pPr>
      <w:r>
        <w:rPr>
          <w:rStyle w:val="TextBullet"/>
        </w:rPr>
        <w:t>•</w:t>
      </w:r>
      <w:r>
        <w:rPr>
          <w:rStyle w:val="TextBullet"/>
        </w:rPr>
        <w:tab/>
      </w:r>
      <w:r>
        <w:t>creation of a ‘Heritage 101’ induction pack for new councillors</w:t>
      </w:r>
    </w:p>
    <w:p w14:paraId="7AC118B6" w14:textId="77777777" w:rsidR="00BC5284" w:rsidRDefault="00BC5284">
      <w:pPr>
        <w:pStyle w:val="TextBulletsPara"/>
      </w:pPr>
      <w:r>
        <w:rPr>
          <w:rStyle w:val="TextBullet"/>
        </w:rPr>
        <w:t>•</w:t>
      </w:r>
      <w:r>
        <w:rPr>
          <w:rStyle w:val="TextBullet"/>
        </w:rPr>
        <w:tab/>
      </w:r>
      <w:r>
        <w:t>facilitation of discussions to clarify demolition application processes</w:t>
      </w:r>
    </w:p>
    <w:p w14:paraId="5CDE0044" w14:textId="77777777" w:rsidR="00BC5284" w:rsidRDefault="00BC5284">
      <w:pPr>
        <w:pStyle w:val="TextBulletsPara"/>
      </w:pPr>
      <w:r>
        <w:rPr>
          <w:rStyle w:val="TextBullet"/>
        </w:rPr>
        <w:t>•</w:t>
      </w:r>
      <w:r>
        <w:rPr>
          <w:rStyle w:val="TextBullet"/>
        </w:rPr>
        <w:tab/>
      </w:r>
      <w:r>
        <w:t>expansion of the local government heritage forum</w:t>
      </w:r>
    </w:p>
    <w:p w14:paraId="4BBD1E2C" w14:textId="77777777" w:rsidR="00BC5284" w:rsidRDefault="00BC5284">
      <w:pPr>
        <w:pStyle w:val="TextBulletsPara"/>
      </w:pPr>
      <w:r>
        <w:rPr>
          <w:rStyle w:val="TextBullet"/>
        </w:rPr>
        <w:lastRenderedPageBreak/>
        <w:t>•</w:t>
      </w:r>
      <w:r>
        <w:rPr>
          <w:rStyle w:val="TextBullet"/>
        </w:rPr>
        <w:tab/>
      </w:r>
      <w:r>
        <w:t>clarification of the role of HERMES and the VHD</w:t>
      </w:r>
    </w:p>
    <w:p w14:paraId="313B6649" w14:textId="77777777" w:rsidR="00BC5284" w:rsidRDefault="00BC5284">
      <w:pPr>
        <w:pStyle w:val="TextBulletsPara"/>
      </w:pPr>
      <w:r>
        <w:rPr>
          <w:rStyle w:val="TextBullet"/>
        </w:rPr>
        <w:t>•</w:t>
      </w:r>
      <w:r>
        <w:rPr>
          <w:rStyle w:val="TextBullet"/>
        </w:rPr>
        <w:tab/>
      </w:r>
      <w:r>
        <w:t>advocation for a tertiary heritage planning subject</w:t>
      </w:r>
    </w:p>
    <w:p w14:paraId="4ECFD25D" w14:textId="77777777" w:rsidR="00BC5284" w:rsidRDefault="00BC5284">
      <w:pPr>
        <w:pStyle w:val="TextBulletsPara"/>
      </w:pPr>
      <w:r>
        <w:rPr>
          <w:rStyle w:val="TextBullet"/>
        </w:rPr>
        <w:t>•</w:t>
      </w:r>
      <w:r>
        <w:rPr>
          <w:rStyle w:val="TextBullet"/>
        </w:rPr>
        <w:tab/>
      </w:r>
      <w:r>
        <w:t>promotion of the use of Heritagechat among planners</w:t>
      </w:r>
    </w:p>
    <w:p w14:paraId="15C61D71" w14:textId="77777777" w:rsidR="00BC5284" w:rsidRDefault="00BC5284">
      <w:pPr>
        <w:pStyle w:val="Text"/>
      </w:pPr>
      <w:r>
        <w:t>These initiatives are to be led by the Heritage Council, in partnership with DELWP, the National Trust, MAV and representatives from local councils.</w:t>
      </w:r>
    </w:p>
    <w:p w14:paraId="6C6441DA" w14:textId="77777777" w:rsidR="00BC5284" w:rsidRDefault="00BC5284">
      <w:pPr>
        <w:pStyle w:val="Text"/>
      </w:pPr>
      <w:r>
        <w:t>This report also discusses a proposed promotional program. This will consist of council information sessions and a community roadshow to be run by the Heritage Council to showcase best-practice local cultural heritage protection and management, and also the benefits that appreciation and protection of local heritage can bring to local communities.</w:t>
      </w:r>
    </w:p>
    <w:p w14:paraId="5D3F452D" w14:textId="77777777" w:rsidR="00BC5284" w:rsidRDefault="00BC5284">
      <w:pPr>
        <w:pStyle w:val="ChapterHeading"/>
        <w:rPr>
          <w:color w:val="000000"/>
        </w:rPr>
      </w:pPr>
      <w:r>
        <w:rPr>
          <w:color w:val="000000"/>
        </w:rPr>
        <w:t>1. Introduction</w:t>
      </w:r>
    </w:p>
    <w:p w14:paraId="5F4DA849" w14:textId="77777777" w:rsidR="00BC5284" w:rsidRDefault="00BC5284">
      <w:pPr>
        <w:pStyle w:val="Headingsubtitle1"/>
        <w:rPr>
          <w:color w:val="000000"/>
        </w:rPr>
      </w:pPr>
      <w:r>
        <w:rPr>
          <w:color w:val="000000"/>
        </w:rPr>
        <w:t>1.1 Background</w:t>
      </w:r>
    </w:p>
    <w:p w14:paraId="413DE9A9" w14:textId="77777777" w:rsidR="00BC5284" w:rsidRDefault="00BC5284">
      <w:pPr>
        <w:pStyle w:val="Text"/>
      </w:pPr>
      <w:r>
        <w:t xml:space="preserve">The Heritage Council of Victoria (the ‘Heritage Council’) is an independent statutory body responsible for identifying, protecting and promoting Victoria’s post-contact cultural heritage. The Heritage Council’s functions and powers are set out in the </w:t>
      </w:r>
      <w:r>
        <w:rPr>
          <w:rStyle w:val="TextItalic"/>
          <w:iCs/>
        </w:rPr>
        <w:t>Heritage Act 2017</w:t>
      </w:r>
      <w:r>
        <w:t>.</w:t>
      </w:r>
      <w:r w:rsidR="0028510D">
        <w:rPr>
          <w:rStyle w:val="FootnoteReference"/>
          <w:rFonts w:ascii="FreightSans Pro Medium" w:hAnsi="FreightSans Pro Medium" w:cs="FreightSans Pro Medium"/>
          <w:sz w:val="16"/>
          <w:szCs w:val="16"/>
        </w:rPr>
        <w:footnoteReference w:id="1"/>
      </w:r>
      <w:r>
        <w:rPr>
          <w:rFonts w:ascii="FreightSans Pro Medium" w:hAnsi="FreightSans Pro Medium" w:cs="FreightSans Pro Medium"/>
          <w:sz w:val="16"/>
          <w:szCs w:val="16"/>
        </w:rPr>
        <w:t xml:space="preserve"> </w:t>
      </w:r>
      <w:r>
        <w:t xml:space="preserve">The Heritage Act does not apply to cultural heritage places or objects of significance only for their association with Aboriginal tradition, as this heritage is protected and managed under the </w:t>
      </w:r>
      <w:r>
        <w:rPr>
          <w:rStyle w:val="TextItalic"/>
          <w:iCs/>
        </w:rPr>
        <w:t>Aboriginal Heritage Act 2006</w:t>
      </w:r>
      <w:r>
        <w:t>.</w:t>
      </w:r>
    </w:p>
    <w:p w14:paraId="1C43A676" w14:textId="77777777" w:rsidR="00BC5284" w:rsidRDefault="00BC5284">
      <w:pPr>
        <w:pStyle w:val="Text"/>
      </w:pPr>
      <w:r>
        <w:t>In 2017, the Heritage Council commissioned a feasibility study to assess the need for a new Victorian Heritage Strategy. The feasibility study identified five areas requiring attention. The first and most significant area was that of local heritage:</w:t>
      </w:r>
    </w:p>
    <w:p w14:paraId="6A55B390" w14:textId="77777777" w:rsidR="00BC5284" w:rsidRDefault="00BC5284">
      <w:pPr>
        <w:pStyle w:val="Text"/>
      </w:pPr>
      <w:r>
        <w:rPr>
          <w:rStyle w:val="TextItalic"/>
          <w:iCs/>
        </w:rPr>
        <w:tab/>
      </w:r>
      <w:r>
        <w:rPr>
          <w:rStyle w:val="TextItalic"/>
          <w:iCs/>
        </w:rPr>
        <w:br/>
        <w:t>‘Local heritage was the major issue to emerge as requiring attention, from the majority of participants across all three consultation mechanisms. Noted issues included recent reductions in State Government funding, the disparity between resources available to places listed on the Victorian Heritage Register (VHR) and included in local overlays, incomplete heritage schedules, and the need for greater capacity at the local level. Local heritage was considered to be one of the main shortcomings of the previous strategy (particularly a perceived disconnect between local heritage, local government and local heritage place owners). Consultation participants expressed support for local initiatives to interpret and celebrate local heritage and consistently emphasised that … the majority of Victoria’s heritage places are owned, used and managed at the local level...’</w:t>
      </w:r>
      <w:r>
        <w:t xml:space="preserve"> (Feasibility Study for a Victorian Heritage Strategy, unpublished report)</w:t>
      </w:r>
    </w:p>
    <w:p w14:paraId="74D68C14" w14:textId="77777777" w:rsidR="00BC5284" w:rsidRDefault="00BC5284">
      <w:pPr>
        <w:pStyle w:val="Text"/>
      </w:pPr>
      <w:r>
        <w:t xml:space="preserve">While the Heritage Council’s primary statutory responsibilities relate to the recognition and protection of </w:t>
      </w:r>
      <w:r>
        <w:rPr>
          <w:spacing w:val="-3"/>
        </w:rPr>
        <w:t>places and objects of State-level cultural heritage significance</w:t>
      </w:r>
      <w:r>
        <w:t xml:space="preserve"> as listed on the Victorian Heritage Register, its advisory </w:t>
      </w:r>
      <w:r>
        <w:rPr>
          <w:spacing w:val="-2"/>
        </w:rPr>
        <w:t>functions, as described under sections 11(1)(a) and (d) of the</w:t>
      </w:r>
      <w:r>
        <w:t xml:space="preserve"> </w:t>
      </w:r>
      <w:r>
        <w:rPr>
          <w:rStyle w:val="TextItalic"/>
          <w:iCs/>
          <w:spacing w:val="-2"/>
        </w:rPr>
        <w:t>Heritage Act 2017</w:t>
      </w:r>
      <w:r>
        <w:rPr>
          <w:spacing w:val="-2"/>
        </w:rPr>
        <w:t>, are much broader. As a result, the Heritage</w:t>
      </w:r>
      <w:r>
        <w:t xml:space="preserve"> Council resolved to use its advisory functions to investigate the local heritage system and identify opportunities for its improvement. It commenced the State of Heritage Review: Local Heritage (the ‘Review)’ project in 2018.</w:t>
      </w:r>
    </w:p>
    <w:p w14:paraId="65C8C344" w14:textId="77777777" w:rsidR="00BC5284" w:rsidRDefault="00BC5284">
      <w:pPr>
        <w:pStyle w:val="Text"/>
      </w:pPr>
      <w:r>
        <w:t>Since the Review’s commencement, a number of high-profile local heritage cases have arisen in the media. These include the illegal demolition of local heritage places and the legal demolition of old places not protected. As such, the Review represents a timely opportunity to investigate local heritage arrangements.</w:t>
      </w:r>
    </w:p>
    <w:p w14:paraId="61F7E609" w14:textId="77777777" w:rsidR="00BC5284" w:rsidRDefault="00855241">
      <w:pPr>
        <w:pStyle w:val="Headingsubtitle1"/>
        <w:rPr>
          <w:color w:val="000000"/>
        </w:rPr>
      </w:pPr>
      <w:r>
        <w:rPr>
          <w:color w:val="000000"/>
        </w:rPr>
        <w:br w:type="page"/>
      </w:r>
      <w:r w:rsidR="00BC5284">
        <w:rPr>
          <w:color w:val="000000"/>
        </w:rPr>
        <w:lastRenderedPageBreak/>
        <w:t>1.2 Review objectives, deliverables and audience</w:t>
      </w:r>
    </w:p>
    <w:p w14:paraId="7E40DB68" w14:textId="77777777" w:rsidR="00BC5284" w:rsidRDefault="00BC5284">
      <w:pPr>
        <w:pStyle w:val="HeadingSubtitle2"/>
        <w:rPr>
          <w:color w:val="000000"/>
        </w:rPr>
      </w:pPr>
      <w:r>
        <w:rPr>
          <w:color w:val="000000"/>
        </w:rPr>
        <w:t>Objectives</w:t>
      </w:r>
    </w:p>
    <w:p w14:paraId="192E1374" w14:textId="77777777" w:rsidR="00BC5284" w:rsidRDefault="00BC5284">
      <w:pPr>
        <w:pStyle w:val="Text"/>
      </w:pPr>
      <w:r>
        <w:t>The Review has four primary objectives:</w:t>
      </w:r>
    </w:p>
    <w:p w14:paraId="17AD078F" w14:textId="77777777" w:rsidR="00BC5284" w:rsidRDefault="00BC5284">
      <w:pPr>
        <w:pStyle w:val="TextBulletsPara"/>
      </w:pPr>
      <w:r>
        <w:rPr>
          <w:rStyle w:val="TextBullet"/>
        </w:rPr>
        <w:t>•</w:t>
      </w:r>
      <w:r>
        <w:rPr>
          <w:rStyle w:val="TextBullet"/>
        </w:rPr>
        <w:tab/>
      </w:r>
      <w:r>
        <w:t>to create a clear picture of the current arrangements for local cultural heritage across the State that can be used as a point of comparison in future years</w:t>
      </w:r>
    </w:p>
    <w:p w14:paraId="6407B830" w14:textId="77777777" w:rsidR="00BC5284" w:rsidRDefault="00BC5284">
      <w:pPr>
        <w:pStyle w:val="TextBulletsPara"/>
      </w:pPr>
      <w:r>
        <w:rPr>
          <w:rStyle w:val="TextBullet"/>
        </w:rPr>
        <w:t>•</w:t>
      </w:r>
      <w:r>
        <w:rPr>
          <w:rStyle w:val="TextBullet"/>
        </w:rPr>
        <w:tab/>
      </w:r>
      <w:r>
        <w:t>to recommend tangible and practical opportunities for enhancing and improving the way State and local governments work together to recognise, protect and manage local cultural heritage, and anticipate and prepare for future challenges</w:t>
      </w:r>
    </w:p>
    <w:p w14:paraId="1731EEF8" w14:textId="77777777" w:rsidR="00BC5284" w:rsidRDefault="00BC5284">
      <w:pPr>
        <w:pStyle w:val="TextBulletsPara"/>
      </w:pPr>
      <w:r>
        <w:rPr>
          <w:rStyle w:val="TextBullet"/>
        </w:rPr>
        <w:t>•</w:t>
      </w:r>
      <w:r>
        <w:rPr>
          <w:rStyle w:val="TextBullet"/>
        </w:rPr>
        <w:tab/>
      </w:r>
      <w:r>
        <w:t>to improve community understanding of the benefits of local and State cultural heritage protection and demystify the current arrangements</w:t>
      </w:r>
    </w:p>
    <w:p w14:paraId="71A9584A" w14:textId="77777777" w:rsidR="00BC5284" w:rsidRDefault="00BC5284">
      <w:pPr>
        <w:pStyle w:val="TextBulletsPara"/>
      </w:pPr>
      <w:r>
        <w:rPr>
          <w:rStyle w:val="TextBullet"/>
        </w:rPr>
        <w:t>•</w:t>
      </w:r>
      <w:r>
        <w:rPr>
          <w:rStyle w:val="TextBullet"/>
        </w:rPr>
        <w:tab/>
      </w:r>
      <w:r>
        <w:t>to promote and encourage good heritage practice across government and within the broader community by showcasing best-practice examples of local cultural heritage management.</w:t>
      </w:r>
    </w:p>
    <w:p w14:paraId="08ACF191" w14:textId="77777777" w:rsidR="00BC5284" w:rsidRDefault="00BC5284">
      <w:pPr>
        <w:pStyle w:val="HeadingSubtitle2"/>
        <w:rPr>
          <w:color w:val="000000"/>
        </w:rPr>
      </w:pPr>
      <w:r>
        <w:rPr>
          <w:color w:val="000000"/>
        </w:rPr>
        <w:t>Deliverables</w:t>
      </w:r>
    </w:p>
    <w:p w14:paraId="6DBC03B1" w14:textId="77777777" w:rsidR="00BC5284" w:rsidRDefault="00BC5284">
      <w:pPr>
        <w:pStyle w:val="Text"/>
      </w:pPr>
      <w:r>
        <w:t>The Review has two key deliverables:</w:t>
      </w:r>
    </w:p>
    <w:p w14:paraId="60E68A18" w14:textId="77777777" w:rsidR="00BC5284" w:rsidRDefault="00BC5284">
      <w:pPr>
        <w:pStyle w:val="Text"/>
      </w:pPr>
      <w:r>
        <w:t>01.</w:t>
      </w:r>
      <w:r>
        <w:tab/>
        <w:t>A formal report that:</w:t>
      </w:r>
    </w:p>
    <w:p w14:paraId="074CB109" w14:textId="77777777" w:rsidR="00BC5284" w:rsidRDefault="00BC5284">
      <w:pPr>
        <w:pStyle w:val="Text"/>
        <w:rPr>
          <w:spacing w:val="-2"/>
        </w:rPr>
      </w:pPr>
      <w:r>
        <w:tab/>
        <w:t>–</w:t>
      </w:r>
      <w:r>
        <w:tab/>
      </w:r>
      <w:r>
        <w:rPr>
          <w:spacing w:val="-3"/>
        </w:rPr>
        <w:t>provides a stocktake of the current provisions for local</w:t>
      </w:r>
      <w:r>
        <w:t xml:space="preserve"> </w:t>
      </w:r>
      <w:r>
        <w:rPr>
          <w:spacing w:val="-2"/>
        </w:rPr>
        <w:t>heritage, to serve as a baseline for future comparisons</w:t>
      </w:r>
    </w:p>
    <w:p w14:paraId="2430527B" w14:textId="77777777" w:rsidR="00BC5284" w:rsidRDefault="00BC5284" w:rsidP="0028510D">
      <w:pPr>
        <w:pStyle w:val="Text"/>
        <w:ind w:left="560" w:hanging="560"/>
      </w:pPr>
      <w:r>
        <w:tab/>
        <w:t>–</w:t>
      </w:r>
      <w:r>
        <w:tab/>
        <w:t>contains an analysis of the different ways local and State cultural heritage protection work together in Victoria to protect the State’s cultural heritage, identifying potential areas for change and improvement</w:t>
      </w:r>
    </w:p>
    <w:p w14:paraId="6CD8F29A" w14:textId="77777777" w:rsidR="00BC5284" w:rsidRDefault="00BC5284" w:rsidP="0028510D">
      <w:pPr>
        <w:pStyle w:val="Text"/>
        <w:ind w:left="560" w:hanging="560"/>
      </w:pPr>
      <w:r>
        <w:tab/>
        <w:t>–</w:t>
      </w:r>
      <w:r>
        <w:tab/>
        <w:t>identifies the strengths and weaknesses in the current local cultural heritage arrangements, making clear proposals for improvement</w:t>
      </w:r>
    </w:p>
    <w:p w14:paraId="59DFE771" w14:textId="77777777" w:rsidR="00BC5284" w:rsidRDefault="00BC5284" w:rsidP="0028510D">
      <w:pPr>
        <w:pStyle w:val="Text"/>
        <w:ind w:left="560" w:hanging="560"/>
      </w:pPr>
      <w:r>
        <w:tab/>
        <w:t>–</w:t>
      </w:r>
      <w:r>
        <w:tab/>
      </w:r>
      <w:r>
        <w:rPr>
          <w:spacing w:val="-2"/>
        </w:rPr>
        <w:t>identifies short, medium and long-term opportunities</w:t>
      </w:r>
      <w:r>
        <w:t xml:space="preserve"> for increasing awareness and appreciation of the benefits of local heritage across Victoria</w:t>
      </w:r>
    </w:p>
    <w:p w14:paraId="7DBED0A9" w14:textId="77777777" w:rsidR="00BC5284" w:rsidRDefault="00BC5284" w:rsidP="0028510D">
      <w:pPr>
        <w:pStyle w:val="Text"/>
        <w:ind w:left="560" w:hanging="560"/>
      </w:pPr>
      <w:r>
        <w:tab/>
        <w:t>–</w:t>
      </w:r>
      <w:r>
        <w:tab/>
        <w:t>identifies examples of best practice of heritage management, protection and promotion, noting where they are occurring and how they could be communicated and taken up more broadly through mechanisms such as forums, workshops and/or a roadshow</w:t>
      </w:r>
    </w:p>
    <w:p w14:paraId="1C57D1D7" w14:textId="77777777" w:rsidR="00BC5284" w:rsidRDefault="00BC5284" w:rsidP="0028510D">
      <w:pPr>
        <w:pStyle w:val="Text"/>
        <w:ind w:left="560" w:hanging="560"/>
        <w:rPr>
          <w:spacing w:val="-2"/>
        </w:rPr>
      </w:pPr>
      <w:r>
        <w:tab/>
        <w:t>–</w:t>
      </w:r>
      <w:r>
        <w:tab/>
      </w:r>
      <w:r>
        <w:rPr>
          <w:spacing w:val="-2"/>
        </w:rPr>
        <w:t>outlines the tangible and practical improvements that</w:t>
      </w:r>
      <w:r>
        <w:t xml:space="preserve"> can be implemented either immediately or in the months following the Review’s completion by the </w:t>
      </w:r>
      <w:r>
        <w:rPr>
          <w:spacing w:val="-2"/>
        </w:rPr>
        <w:t>Heritage Council, Heritage Victoria and local councils</w:t>
      </w:r>
    </w:p>
    <w:p w14:paraId="7019F50D" w14:textId="77777777" w:rsidR="00BC5284" w:rsidRDefault="00BC5284">
      <w:pPr>
        <w:pStyle w:val="Text"/>
      </w:pPr>
      <w:r>
        <w:tab/>
        <w:t>–</w:t>
      </w:r>
      <w:r>
        <w:tab/>
        <w:t>specifies three strategic initiatives to improve local heritage protection and management in the State.</w:t>
      </w:r>
    </w:p>
    <w:p w14:paraId="2EDAECA9" w14:textId="77777777" w:rsidR="00BC5284" w:rsidRDefault="00BC5284" w:rsidP="0028510D">
      <w:pPr>
        <w:pStyle w:val="Text"/>
        <w:ind w:left="283" w:hanging="283"/>
      </w:pPr>
      <w:r>
        <w:rPr>
          <w:rStyle w:val="TextBold"/>
          <w:rFonts w:cs="FreightText Pro Bold"/>
          <w:bCs/>
        </w:rPr>
        <w:t>02.</w:t>
      </w:r>
      <w:r>
        <w:rPr>
          <w:rStyle w:val="TextBold"/>
          <w:rFonts w:cs="FreightText Pro Bold"/>
          <w:bCs/>
        </w:rPr>
        <w:tab/>
      </w:r>
      <w:r>
        <w:t>A promotional program that showcases best-practice local cultural heritage protection and management, and the benefits that appreciation and protection of heritage can bring to local communities.</w:t>
      </w:r>
    </w:p>
    <w:p w14:paraId="1FB5C977" w14:textId="77777777" w:rsidR="00BC5284" w:rsidRDefault="00BC5284">
      <w:pPr>
        <w:pStyle w:val="HeadingSubtitle2"/>
        <w:rPr>
          <w:color w:val="000000"/>
        </w:rPr>
      </w:pPr>
      <w:r>
        <w:rPr>
          <w:color w:val="000000"/>
        </w:rPr>
        <w:t>Audience</w:t>
      </w:r>
    </w:p>
    <w:p w14:paraId="1BFEAB4E" w14:textId="77777777" w:rsidR="00BC5284" w:rsidRDefault="00BC5284">
      <w:pPr>
        <w:pStyle w:val="Text"/>
      </w:pPr>
      <w:r>
        <w:t>The Review and its deliverables are intended for the key stakeholders in the local heritage system. This includes government and related peak bodies, both at the State level – the Minister for Planning, the DELWP Planning Group and the Heritage Council – and those at the local level – councils and the Municipal Association of Victoria (MAV). It also includes heritage-related organisations – the National Trust of Australia (Victoria), the Royal Historical Society of Victoria Inc. and its affiliated societies – and the general public.</w:t>
      </w:r>
    </w:p>
    <w:p w14:paraId="13FE9758" w14:textId="77777777" w:rsidR="00BC5284" w:rsidRDefault="00BC5284">
      <w:pPr>
        <w:pStyle w:val="Headingsubtitle1"/>
        <w:rPr>
          <w:color w:val="000000"/>
        </w:rPr>
      </w:pPr>
      <w:r>
        <w:rPr>
          <w:color w:val="000000"/>
        </w:rPr>
        <w:t>1.3 Review constraints and scope</w:t>
      </w:r>
    </w:p>
    <w:p w14:paraId="2900D3CD" w14:textId="77777777" w:rsidR="00BC5284" w:rsidRDefault="00BC5284">
      <w:pPr>
        <w:pStyle w:val="HeadingSubtitle2"/>
        <w:rPr>
          <w:color w:val="000000"/>
        </w:rPr>
      </w:pPr>
      <w:r>
        <w:rPr>
          <w:color w:val="000000"/>
        </w:rPr>
        <w:t>Constraints</w:t>
      </w:r>
    </w:p>
    <w:p w14:paraId="1FCA283B" w14:textId="77777777" w:rsidR="00BC5284" w:rsidRDefault="00BC5284">
      <w:pPr>
        <w:pStyle w:val="Text"/>
      </w:pPr>
      <w:r>
        <w:t xml:space="preserve">The protection and management of places of local heritage significance is the responsibility of local councils under the </w:t>
      </w:r>
      <w:r>
        <w:rPr>
          <w:rStyle w:val="TextItalic"/>
          <w:iCs/>
        </w:rPr>
        <w:t>Planning and Environment Act 1987</w:t>
      </w:r>
      <w:r>
        <w:t xml:space="preserve">. In its framing of the Review, the Heritage Council was mindful that its powers in relation to local heritage are limited to advice and education regarding the understanding, protection and conservation of the State’s cultural heritage resources. </w:t>
      </w:r>
      <w:r>
        <w:lastRenderedPageBreak/>
        <w:t>It has no direct powers in relation to the planning system under which the management of local heritage resides. The Review’s scope and deliverables have been framed with this fact in mind and therefore consist of two different streams of recommendations:</w:t>
      </w:r>
    </w:p>
    <w:p w14:paraId="29762139" w14:textId="77777777" w:rsidR="00BC5284" w:rsidRDefault="00BC5284">
      <w:pPr>
        <w:pStyle w:val="TextBulletsPara"/>
      </w:pPr>
      <w:r>
        <w:rPr>
          <w:rStyle w:val="TextBullet"/>
        </w:rPr>
        <w:t>•</w:t>
      </w:r>
      <w:r>
        <w:rPr>
          <w:rStyle w:val="TextBullet"/>
        </w:rPr>
        <w:tab/>
      </w:r>
      <w:r>
        <w:t>‘strategic initiatives’ – larger changes that the Heritage Council will advocate to the relevant local and State planning authorities</w:t>
      </w:r>
    </w:p>
    <w:p w14:paraId="33E54D9E" w14:textId="77777777" w:rsidR="00BC5284" w:rsidRDefault="00BC5284">
      <w:pPr>
        <w:pStyle w:val="TextBulletsPara"/>
      </w:pPr>
      <w:r>
        <w:rPr>
          <w:rStyle w:val="TextBullet"/>
        </w:rPr>
        <w:t>•</w:t>
      </w:r>
      <w:r>
        <w:rPr>
          <w:rStyle w:val="TextBullet"/>
        </w:rPr>
        <w:tab/>
      </w:r>
      <w:r>
        <w:t>‘practical improvements’ – smaller activities, mostly relating to education or communication, that either fall directly within the Heritage Council’s remit or are those whose delivery the Heritage Council could help support. These ensure that there will be tangible outcomes from the Review.</w:t>
      </w:r>
    </w:p>
    <w:p w14:paraId="7EDF6BEE" w14:textId="77777777" w:rsidR="00BC5284" w:rsidRDefault="00BC5284">
      <w:pPr>
        <w:pStyle w:val="Text"/>
      </w:pPr>
      <w:r>
        <w:t>The two other factors that have acted as constraints are:</w:t>
      </w:r>
    </w:p>
    <w:p w14:paraId="5C3C78E1" w14:textId="77777777" w:rsidR="00BC5284" w:rsidRDefault="00BC5284">
      <w:pPr>
        <w:pStyle w:val="TextBulletsPara"/>
      </w:pPr>
      <w:r>
        <w:rPr>
          <w:rStyle w:val="TextBullet"/>
        </w:rPr>
        <w:t>•</w:t>
      </w:r>
      <w:r>
        <w:rPr>
          <w:rStyle w:val="TextBullet"/>
        </w:rPr>
        <w:tab/>
      </w:r>
      <w:r>
        <w:t>timeframes – the review was given an 18-month project timeframe to ensure it retained its momentum and the collated data did not become too out of date</w:t>
      </w:r>
    </w:p>
    <w:p w14:paraId="16F62D7A" w14:textId="77777777" w:rsidR="00BC5284" w:rsidRDefault="00BC5284">
      <w:pPr>
        <w:pStyle w:val="TextBulletsPara"/>
      </w:pPr>
      <w:r>
        <w:rPr>
          <w:rStyle w:val="TextBullet"/>
        </w:rPr>
        <w:t>•</w:t>
      </w:r>
      <w:r>
        <w:rPr>
          <w:rStyle w:val="TextBullet"/>
        </w:rPr>
        <w:tab/>
      </w:r>
      <w:r>
        <w:t xml:space="preserve">staffing – due to the relatively small size of the Heritage Council Secretariat, one full-time Project Officer was employed to work on the Review; project management assistance was provided in a part-time capacity by the Secretariat’s Senior Project Officer. </w:t>
      </w:r>
    </w:p>
    <w:p w14:paraId="7D3B5DB6" w14:textId="77777777" w:rsidR="00BC5284" w:rsidRDefault="00BC5284">
      <w:pPr>
        <w:pStyle w:val="HeadingSubtitle2"/>
        <w:rPr>
          <w:color w:val="000000"/>
        </w:rPr>
      </w:pPr>
      <w:r>
        <w:rPr>
          <w:color w:val="000000"/>
        </w:rPr>
        <w:t>Scope</w:t>
      </w:r>
    </w:p>
    <w:p w14:paraId="6986F864" w14:textId="77777777" w:rsidR="00BC5284" w:rsidRDefault="00BC5284">
      <w:pPr>
        <w:pStyle w:val="Text"/>
      </w:pPr>
      <w:r>
        <w:t>Given the Council’s advisory role and the Review’s objectives and constraints, the Heritage Council agreed that the Review would:</w:t>
      </w:r>
    </w:p>
    <w:p w14:paraId="79F3F61B" w14:textId="77777777" w:rsidR="00BC5284" w:rsidRDefault="00BC5284">
      <w:pPr>
        <w:pStyle w:val="TextBulletsPara"/>
      </w:pPr>
      <w:r>
        <w:rPr>
          <w:rStyle w:val="TextBullet"/>
        </w:rPr>
        <w:t>•</w:t>
      </w:r>
      <w:r>
        <w:rPr>
          <w:rStyle w:val="TextBullet"/>
        </w:rPr>
        <w:tab/>
      </w:r>
      <w:r>
        <w:t>investigate the different arrangements for local and State cultural heritage protection and management in Victoria and compare them with those of other jurisdictions in Australia, primarily NSW</w:t>
      </w:r>
    </w:p>
    <w:p w14:paraId="1F356B96" w14:textId="77777777" w:rsidR="00BC5284" w:rsidRDefault="00BC5284">
      <w:pPr>
        <w:pStyle w:val="TextBulletsPara"/>
      </w:pPr>
      <w:r>
        <w:rPr>
          <w:rStyle w:val="TextBullet"/>
        </w:rPr>
        <w:t>•</w:t>
      </w:r>
      <w:r>
        <w:rPr>
          <w:rStyle w:val="TextBullet"/>
        </w:rPr>
        <w:tab/>
      </w:r>
      <w:r>
        <w:t>establish a clearer understanding of current provision for local cultural heritage (with a stocktake of what is being done), including the extent and recentness of local heritage studies, the provision for heritage within local planning, and arrangements for the support and promotion of local cultural heritage</w:t>
      </w:r>
    </w:p>
    <w:p w14:paraId="5F6D240B" w14:textId="77777777" w:rsidR="00BC5284" w:rsidRDefault="00BC5284">
      <w:pPr>
        <w:pStyle w:val="TextBulletsPara"/>
      </w:pPr>
      <w:r>
        <w:rPr>
          <w:rStyle w:val="TextBullet"/>
        </w:rPr>
        <w:t>•</w:t>
      </w:r>
      <w:r>
        <w:rPr>
          <w:rStyle w:val="TextBullet"/>
        </w:rPr>
        <w:tab/>
      </w:r>
      <w:r>
        <w:t>evaluate the strengths and weaknesses of current local cultural heritage protection and management arrangements, including the effectiveness of the coordination of local and State cultural heritage mechanisms, and how the public understanding of the two levels might be increased</w:t>
      </w:r>
    </w:p>
    <w:p w14:paraId="790CAFEE" w14:textId="77777777" w:rsidR="00BC5284" w:rsidRDefault="00BC5284">
      <w:pPr>
        <w:pStyle w:val="TextBulletsPara"/>
      </w:pPr>
      <w:r>
        <w:rPr>
          <w:rStyle w:val="TextBullet"/>
        </w:rPr>
        <w:t>•</w:t>
      </w:r>
      <w:r>
        <w:rPr>
          <w:rStyle w:val="TextBullet"/>
        </w:rPr>
        <w:tab/>
      </w:r>
      <w:r>
        <w:t>identify current mechanisms that have the potential to provide sustainable funding of local heritage protection and management</w:t>
      </w:r>
    </w:p>
    <w:p w14:paraId="76C639EA" w14:textId="77777777" w:rsidR="00BC5284" w:rsidRDefault="00BC5284">
      <w:pPr>
        <w:pStyle w:val="TextBulletsPara"/>
      </w:pPr>
      <w:r>
        <w:rPr>
          <w:rStyle w:val="TextBullet"/>
        </w:rPr>
        <w:t>•</w:t>
      </w:r>
      <w:r>
        <w:rPr>
          <w:rStyle w:val="TextBullet"/>
        </w:rPr>
        <w:tab/>
      </w:r>
      <w:r>
        <w:t>identify the challenges likely to emerge in local cultural heritage protection and management</w:t>
      </w:r>
    </w:p>
    <w:p w14:paraId="2DA8BAF9" w14:textId="77777777" w:rsidR="00BC5284" w:rsidRDefault="00BC5284">
      <w:pPr>
        <w:pStyle w:val="TextBulletsPara"/>
      </w:pPr>
      <w:r>
        <w:rPr>
          <w:rStyle w:val="TextBullet"/>
        </w:rPr>
        <w:t>•</w:t>
      </w:r>
      <w:r>
        <w:rPr>
          <w:rStyle w:val="TextBullet"/>
        </w:rPr>
        <w:tab/>
      </w:r>
      <w:r>
        <w:t>identify best-practice examples of management, protection and promotion of local cultural heritage, noting where they are occurring and how they could be communicated and taken up more broadly through mechanisms such as forums, workshops and/or a roadshow</w:t>
      </w:r>
    </w:p>
    <w:p w14:paraId="3D19AAC3" w14:textId="77777777" w:rsidR="00BC5284" w:rsidRDefault="00BC5284">
      <w:pPr>
        <w:pStyle w:val="TextBulletsPara"/>
      </w:pPr>
      <w:r>
        <w:rPr>
          <w:rStyle w:val="TextBullet"/>
        </w:rPr>
        <w:t>•</w:t>
      </w:r>
      <w:r>
        <w:rPr>
          <w:rStyle w:val="TextBullet"/>
        </w:rPr>
        <w:tab/>
      </w:r>
      <w:r>
        <w:t>identify short, medium and long-term opportunities for increasing awareness and appreciation of the benefits of local cultural heritage across Victoria</w:t>
      </w:r>
    </w:p>
    <w:p w14:paraId="1CB8DF8C" w14:textId="77777777" w:rsidR="00BC5284" w:rsidRDefault="00BC5284">
      <w:pPr>
        <w:pStyle w:val="TextBulletsPara"/>
      </w:pPr>
      <w:r>
        <w:rPr>
          <w:rStyle w:val="TextBullet"/>
        </w:rPr>
        <w:t>•</w:t>
      </w:r>
      <w:r>
        <w:rPr>
          <w:rStyle w:val="TextBullet"/>
        </w:rPr>
        <w:tab/>
      </w:r>
      <w:r>
        <w:t>specify practical steps for improvement that can be implemented by the Heritage Council, DELWP and municipal agencies within existing resources</w:t>
      </w:r>
    </w:p>
    <w:p w14:paraId="7B64B621" w14:textId="77777777" w:rsidR="00BC5284" w:rsidRDefault="00BC5284">
      <w:pPr>
        <w:pStyle w:val="TextBulletsPara"/>
      </w:pPr>
      <w:r>
        <w:rPr>
          <w:rStyle w:val="TextBullet"/>
        </w:rPr>
        <w:t>•</w:t>
      </w:r>
      <w:r>
        <w:rPr>
          <w:rStyle w:val="TextBullet"/>
        </w:rPr>
        <w:tab/>
      </w:r>
      <w:r>
        <w:t>identify the top three initiatives which, if funded, could greatly improve the recognition, protection and management of local cultural heritage across Victoria.</w:t>
      </w:r>
    </w:p>
    <w:p w14:paraId="61ABF9A3" w14:textId="77777777" w:rsidR="00BC5284" w:rsidRDefault="00BC5284">
      <w:pPr>
        <w:pStyle w:val="HeadingSubtitle2"/>
        <w:rPr>
          <w:color w:val="000000"/>
        </w:rPr>
      </w:pPr>
      <w:r>
        <w:rPr>
          <w:color w:val="000000"/>
        </w:rPr>
        <w:t>Out of scope</w:t>
      </w:r>
    </w:p>
    <w:p w14:paraId="1D94C08D" w14:textId="77777777" w:rsidR="00BC5284" w:rsidRDefault="00BC5284">
      <w:pPr>
        <w:pStyle w:val="Text"/>
      </w:pPr>
      <w:r>
        <w:t>In recognition of the Review’s constraints and to ensure clarity, the following activities were specifically excluded from the Review’s scope:</w:t>
      </w:r>
    </w:p>
    <w:p w14:paraId="6EABAEFF" w14:textId="77777777" w:rsidR="00BC5284" w:rsidRDefault="00BC5284">
      <w:pPr>
        <w:pStyle w:val="TextBulletsPara"/>
      </w:pPr>
      <w:r>
        <w:rPr>
          <w:rStyle w:val="TextBullet"/>
        </w:rPr>
        <w:t>•</w:t>
      </w:r>
      <w:r>
        <w:rPr>
          <w:rStyle w:val="TextBullet"/>
        </w:rPr>
        <w:tab/>
      </w:r>
      <w:r>
        <w:t>an examination of Commonwealth levels of heritage protection and management – these levels of heritage protection and management have little bearing on local heritage</w:t>
      </w:r>
    </w:p>
    <w:p w14:paraId="4B655B4E" w14:textId="77777777" w:rsidR="00BC5284" w:rsidRDefault="00BC5284">
      <w:pPr>
        <w:pStyle w:val="TextBulletsPara"/>
      </w:pPr>
      <w:r>
        <w:rPr>
          <w:rStyle w:val="TextBullet"/>
        </w:rPr>
        <w:t>•</w:t>
      </w:r>
      <w:r>
        <w:rPr>
          <w:rStyle w:val="TextBullet"/>
        </w:rPr>
        <w:tab/>
      </w:r>
      <w:r>
        <w:t xml:space="preserve">an analysis of the regulatory framework and planning schemes – local heritage comprises a small part of the planning system under the </w:t>
      </w:r>
      <w:r>
        <w:rPr>
          <w:rStyle w:val="TextItalic"/>
          <w:iCs/>
        </w:rPr>
        <w:t>Planning and Environment Act 1987</w:t>
      </w:r>
      <w:r>
        <w:t>. An investigation of this system would require additional resources</w:t>
      </w:r>
    </w:p>
    <w:p w14:paraId="0A6CA41E" w14:textId="77777777" w:rsidR="00BC5284" w:rsidRDefault="00BC5284">
      <w:pPr>
        <w:pStyle w:val="TextBulletsPara"/>
      </w:pPr>
      <w:r>
        <w:rPr>
          <w:rStyle w:val="TextBullet"/>
        </w:rPr>
        <w:t>•</w:t>
      </w:r>
      <w:r>
        <w:rPr>
          <w:rStyle w:val="TextBullet"/>
        </w:rPr>
        <w:tab/>
      </w:r>
      <w:r>
        <w:t>an analysis of the content of specific Heritage Overlays – as above</w:t>
      </w:r>
    </w:p>
    <w:p w14:paraId="04E0D224" w14:textId="77777777" w:rsidR="00BC5284" w:rsidRDefault="00BC5284">
      <w:pPr>
        <w:pStyle w:val="TextBulletsPara"/>
      </w:pPr>
      <w:r>
        <w:rPr>
          <w:rStyle w:val="TextBullet"/>
        </w:rPr>
        <w:t>•</w:t>
      </w:r>
      <w:r>
        <w:rPr>
          <w:rStyle w:val="TextBullet"/>
        </w:rPr>
        <w:tab/>
      </w:r>
      <w:r>
        <w:t xml:space="preserve">a specific analysis of local council-owned assets – this project was aimed at providing a broad strategic look at the local heritage system. Investigation of specific </w:t>
      </w:r>
    </w:p>
    <w:p w14:paraId="3FEA6E3E" w14:textId="77777777" w:rsidR="00BC5284" w:rsidRDefault="00BC5284">
      <w:pPr>
        <w:pStyle w:val="TextBulletsPara"/>
      </w:pPr>
      <w:r>
        <w:rPr>
          <w:rStyle w:val="TextBullet"/>
        </w:rPr>
        <w:t>•</w:t>
      </w:r>
      <w:r>
        <w:rPr>
          <w:rStyle w:val="TextBullet"/>
        </w:rPr>
        <w:tab/>
      </w:r>
      <w:r>
        <w:t>heritage places and their ownership would not have added much value</w:t>
      </w:r>
    </w:p>
    <w:p w14:paraId="1F941F16" w14:textId="77777777" w:rsidR="00BC5284" w:rsidRDefault="00BC5284">
      <w:pPr>
        <w:pStyle w:val="Text"/>
      </w:pPr>
      <w:r>
        <w:rPr>
          <w:rStyle w:val="TextItalic"/>
          <w:iCs/>
        </w:rPr>
        <w:lastRenderedPageBreak/>
        <w:t>The Heritage Act 2017</w:t>
      </w:r>
      <w:r>
        <w:t xml:space="preserve"> does not apply to cultural heritage places that are of significance only for their association with Aboriginal tradition and it is more appropriate for advice on the protection and management of this heritage to be provided by the Victorian Aboriginal Heritage Council and/or Aboriginal Victoria. It has therefore been excluded from the scope of the Review.</w:t>
      </w:r>
    </w:p>
    <w:p w14:paraId="10794B50" w14:textId="77777777" w:rsidR="00BC5284" w:rsidRDefault="00BC5284">
      <w:pPr>
        <w:pStyle w:val="Headingsubtitle1"/>
        <w:rPr>
          <w:color w:val="000000"/>
        </w:rPr>
      </w:pPr>
      <w:r>
        <w:rPr>
          <w:color w:val="000000"/>
        </w:rPr>
        <w:t>1.4 Review governance and process</w:t>
      </w:r>
    </w:p>
    <w:p w14:paraId="184AF802" w14:textId="77777777" w:rsidR="00BC5284" w:rsidRDefault="00BC5284">
      <w:pPr>
        <w:pStyle w:val="HeadingSubtitle2"/>
        <w:rPr>
          <w:color w:val="000000"/>
        </w:rPr>
      </w:pPr>
      <w:r>
        <w:rPr>
          <w:color w:val="000000"/>
        </w:rPr>
        <w:t>Governance</w:t>
      </w:r>
    </w:p>
    <w:p w14:paraId="0F192432" w14:textId="77777777" w:rsidR="00BC5284" w:rsidRDefault="00BC5284">
      <w:pPr>
        <w:pStyle w:val="Text"/>
      </w:pPr>
      <w:r>
        <w:t>The Heritage Council constituted a committee to oversee the Review. The Review Steering Committee (RSC) was comprised of:</w:t>
      </w:r>
    </w:p>
    <w:p w14:paraId="528E3FDF" w14:textId="77777777" w:rsidR="00BC5284" w:rsidRDefault="00BC5284">
      <w:pPr>
        <w:pStyle w:val="TextBulletsPara"/>
      </w:pPr>
      <w:r>
        <w:rPr>
          <w:rStyle w:val="TextBullet"/>
        </w:rPr>
        <w:t>•</w:t>
      </w:r>
      <w:r>
        <w:rPr>
          <w:rStyle w:val="TextBullet"/>
        </w:rPr>
        <w:tab/>
      </w:r>
      <w:r>
        <w:t>three representatives from the Heritage Council, including the Chair</w:t>
      </w:r>
    </w:p>
    <w:p w14:paraId="36352035" w14:textId="77777777" w:rsidR="00BC5284" w:rsidRDefault="00BC5284">
      <w:pPr>
        <w:pStyle w:val="TextBulletsPara"/>
      </w:pPr>
      <w:r>
        <w:rPr>
          <w:rStyle w:val="TextBullet"/>
        </w:rPr>
        <w:t>•</w:t>
      </w:r>
      <w:r>
        <w:rPr>
          <w:rStyle w:val="TextBullet"/>
        </w:rPr>
        <w:tab/>
      </w:r>
      <w:r>
        <w:t>three representatives from the Municipal Association of Victoria (MAV): one staff and two MAV-nominated council officers</w:t>
      </w:r>
    </w:p>
    <w:p w14:paraId="2F21750F" w14:textId="77777777" w:rsidR="00BC5284" w:rsidRDefault="00BC5284">
      <w:pPr>
        <w:pStyle w:val="TextBulletsPara"/>
      </w:pPr>
      <w:r>
        <w:rPr>
          <w:rStyle w:val="TextBullet"/>
        </w:rPr>
        <w:t>•</w:t>
      </w:r>
      <w:r>
        <w:rPr>
          <w:rStyle w:val="TextBullet"/>
        </w:rPr>
        <w:tab/>
      </w:r>
      <w:r>
        <w:t>one representative from Heritage Victoria (HV), Department of Environment, Land, Water and Planning (DELWP)</w:t>
      </w:r>
    </w:p>
    <w:p w14:paraId="31949831" w14:textId="77777777" w:rsidR="00BC5284" w:rsidRDefault="00BC5284">
      <w:pPr>
        <w:pStyle w:val="TextBulletsPara"/>
      </w:pPr>
      <w:r>
        <w:rPr>
          <w:rStyle w:val="TextBullet"/>
        </w:rPr>
        <w:t>•</w:t>
      </w:r>
      <w:r>
        <w:rPr>
          <w:rStyle w:val="TextBullet"/>
        </w:rPr>
        <w:tab/>
      </w:r>
      <w:r>
        <w:t>one representative from Planning Group, DELWP</w:t>
      </w:r>
    </w:p>
    <w:p w14:paraId="2C9F5E2D" w14:textId="77777777" w:rsidR="00BC5284" w:rsidRDefault="00BC5284">
      <w:pPr>
        <w:pStyle w:val="TextBulletsPara"/>
      </w:pPr>
      <w:r>
        <w:rPr>
          <w:rStyle w:val="TextBullet"/>
        </w:rPr>
        <w:t>•</w:t>
      </w:r>
      <w:r>
        <w:rPr>
          <w:rStyle w:val="TextBullet"/>
        </w:rPr>
        <w:tab/>
      </w:r>
      <w:r>
        <w:t>one representative from the National Trust (National Trust of Australia, Victoria)</w:t>
      </w:r>
    </w:p>
    <w:p w14:paraId="78ECBE09" w14:textId="77777777" w:rsidR="00BC5284" w:rsidRDefault="00BC5284">
      <w:pPr>
        <w:pStyle w:val="HeadingSubtitle2"/>
        <w:rPr>
          <w:color w:val="000000"/>
        </w:rPr>
      </w:pPr>
      <w:r>
        <w:rPr>
          <w:color w:val="000000"/>
        </w:rPr>
        <w:t>Process</w:t>
      </w:r>
    </w:p>
    <w:p w14:paraId="2D43495F" w14:textId="77777777" w:rsidR="00BC5284" w:rsidRDefault="00BC5284">
      <w:pPr>
        <w:pStyle w:val="Text"/>
      </w:pPr>
      <w:r>
        <w:t>The Review’s investigation process focused primarily on input from those at the heart of local heritage protection and management – local council planners and/or heritage officers. Information was gathered via desktop analysis, surveys and targeted interviews and workshops.</w:t>
      </w:r>
    </w:p>
    <w:p w14:paraId="09627CC9" w14:textId="77777777" w:rsidR="00BC5284" w:rsidRDefault="00BC5284">
      <w:pPr>
        <w:pStyle w:val="HeadingSubtitle3"/>
        <w:rPr>
          <w:color w:val="000000"/>
        </w:rPr>
      </w:pPr>
      <w:r>
        <w:rPr>
          <w:color w:val="000000"/>
        </w:rPr>
        <w:t>Surveys</w:t>
      </w:r>
    </w:p>
    <w:p w14:paraId="2259D222" w14:textId="77777777" w:rsidR="00BC5284" w:rsidRDefault="00BC5284">
      <w:pPr>
        <w:pStyle w:val="Text"/>
      </w:pPr>
      <w:r>
        <w:t>The Review commenced with two online surveys to source data for the stocktake of the current provisions for local heritage as well as opinions on the overall function of the local heritage system:</w:t>
      </w:r>
    </w:p>
    <w:p w14:paraId="6ADF3525" w14:textId="77777777" w:rsidR="00BC5284" w:rsidRDefault="00BC5284">
      <w:pPr>
        <w:pStyle w:val="TextBulletsPara"/>
      </w:pPr>
      <w:r>
        <w:rPr>
          <w:rStyle w:val="TextBullet"/>
        </w:rPr>
        <w:t>•</w:t>
      </w:r>
      <w:r>
        <w:rPr>
          <w:rStyle w:val="TextBullet"/>
        </w:rPr>
        <w:tab/>
      </w:r>
      <w:r>
        <w:t>the first (the ‘council survey’) was sent to representatives from all 79 Victorian councils and to all four alpine resort management boards. The survey asked 10 quantitative questions on local heritage arrangements and five qualitative questions seeking opinions on the local heritage system. A total of 80 responses were received; all 79 councils (100% response rate) and one alpine resort management board (25% response rate) completed the survey</w:t>
      </w:r>
    </w:p>
    <w:p w14:paraId="1006C1A2" w14:textId="77777777" w:rsidR="00BC5284" w:rsidRDefault="00BC5284">
      <w:pPr>
        <w:pStyle w:val="TextBulletsPara"/>
      </w:pPr>
      <w:r>
        <w:rPr>
          <w:rStyle w:val="TextBullet"/>
        </w:rPr>
        <w:t>•</w:t>
      </w:r>
      <w:r>
        <w:rPr>
          <w:rStyle w:val="TextBullet"/>
        </w:rPr>
        <w:tab/>
      </w:r>
      <w:r>
        <w:t xml:space="preserve">the second (the ‘community survey’) was sent to representatives from the heritage community. The survey asked the same five qualitative questions as the council survey. The survey was distributed via email to several different groups: Royal Historical Society of Victoria-affiliated local historical and heritage societies (this was administered by the RHSV on behalf of the </w:t>
      </w:r>
    </w:p>
    <w:p w14:paraId="6E3F1A9F" w14:textId="77777777" w:rsidR="00BC5284" w:rsidRDefault="00BC5284">
      <w:pPr>
        <w:pStyle w:val="TextBulletsPara"/>
      </w:pPr>
      <w:r>
        <w:rPr>
          <w:rStyle w:val="TextBullet"/>
        </w:rPr>
        <w:t>•</w:t>
      </w:r>
      <w:r>
        <w:rPr>
          <w:rStyle w:val="TextBullet"/>
        </w:rPr>
        <w:tab/>
      </w:r>
      <w:r>
        <w:t>Heritage Council); Victorian Australia International Council on Monuments and Sites (ICOMOS) members; representatives from the National Trust; and members of the Local Government Specialist Committee (LGSC), HCV. A total of 123 responses were received; 114 via the RHSV (including the RHSV itself) and nine responses through the other channels.</w:t>
      </w:r>
    </w:p>
    <w:p w14:paraId="05ED3D80" w14:textId="77777777" w:rsidR="00BC5284" w:rsidRDefault="00BC5284">
      <w:pPr>
        <w:pStyle w:val="HeadingSubtitle3"/>
        <w:rPr>
          <w:color w:val="000000"/>
        </w:rPr>
      </w:pPr>
      <w:r>
        <w:rPr>
          <w:color w:val="000000"/>
        </w:rPr>
        <w:t>Desktop analysis</w:t>
      </w:r>
    </w:p>
    <w:p w14:paraId="795D152A" w14:textId="77777777" w:rsidR="00BC5284" w:rsidRDefault="00BC5284">
      <w:pPr>
        <w:pStyle w:val="Text"/>
      </w:pPr>
      <w:r>
        <w:t>Two desktop reviews were conducted alongside the survey:</w:t>
      </w:r>
    </w:p>
    <w:p w14:paraId="0301D8E8" w14:textId="77777777" w:rsidR="00BC5284" w:rsidRDefault="00BC5284">
      <w:pPr>
        <w:pStyle w:val="TextBulletsPara"/>
      </w:pPr>
      <w:r>
        <w:rPr>
          <w:rStyle w:val="TextBullet"/>
        </w:rPr>
        <w:t>•</w:t>
      </w:r>
      <w:r>
        <w:rPr>
          <w:rStyle w:val="TextBullet"/>
        </w:rPr>
        <w:tab/>
      </w:r>
      <w:r>
        <w:t>the first was a manual check of the number of heritage studies and Heritage Overlays in Victoria in order to supplement the stocktake data from the council survey</w:t>
      </w:r>
    </w:p>
    <w:p w14:paraId="78EAFE71" w14:textId="77777777" w:rsidR="00BC5284" w:rsidRDefault="00BC5284">
      <w:pPr>
        <w:pStyle w:val="TextBulletsPara"/>
      </w:pPr>
      <w:r>
        <w:rPr>
          <w:rStyle w:val="TextBullet"/>
        </w:rPr>
        <w:t>•</w:t>
      </w:r>
      <w:r>
        <w:rPr>
          <w:rStyle w:val="TextBullet"/>
        </w:rPr>
        <w:tab/>
      </w:r>
      <w:r>
        <w:t>the second was an investigation of interstate heritage systems and follow-up interviews with representatives from interstate heritage bodies to better understand the way in which they assisted with the protection and management of local heritage.</w:t>
      </w:r>
    </w:p>
    <w:p w14:paraId="6A301DCD" w14:textId="77777777" w:rsidR="00BC5284" w:rsidRDefault="00BC5284">
      <w:pPr>
        <w:pStyle w:val="HeadingSubtitle3"/>
        <w:rPr>
          <w:color w:val="000000"/>
        </w:rPr>
      </w:pPr>
      <w:r>
        <w:rPr>
          <w:color w:val="000000"/>
        </w:rPr>
        <w:t>Targeted interviews and workshops</w:t>
      </w:r>
    </w:p>
    <w:p w14:paraId="52F42FD7" w14:textId="77777777" w:rsidR="00BC5284" w:rsidRDefault="00BC5284">
      <w:pPr>
        <w:pStyle w:val="Text"/>
      </w:pPr>
      <w:r>
        <w:t>The final phase of the investigation involved:</w:t>
      </w:r>
    </w:p>
    <w:p w14:paraId="7CDC3A4C" w14:textId="77777777" w:rsidR="00BC5284" w:rsidRDefault="00BC5284">
      <w:pPr>
        <w:pStyle w:val="TextBulletsPara"/>
        <w:rPr>
          <w:spacing w:val="-2"/>
        </w:rPr>
      </w:pPr>
      <w:r>
        <w:rPr>
          <w:rStyle w:val="TextBullet"/>
        </w:rPr>
        <w:t>•</w:t>
      </w:r>
      <w:r>
        <w:rPr>
          <w:rStyle w:val="TextBullet"/>
        </w:rPr>
        <w:tab/>
      </w:r>
      <w:r>
        <w:t xml:space="preserve">interviews with representatives from 10 Victorian councils that have a local cultural heritage arrangement that can be considered either best practice or an innovative approach to better understand best practice </w:t>
      </w:r>
      <w:r>
        <w:rPr>
          <w:spacing w:val="-2"/>
        </w:rPr>
        <w:t>and the way in which it could be applied to other councils</w:t>
      </w:r>
    </w:p>
    <w:p w14:paraId="27B564BB" w14:textId="77777777" w:rsidR="00BC5284" w:rsidRDefault="00BC5284">
      <w:pPr>
        <w:pStyle w:val="TextBulletsPara"/>
      </w:pPr>
      <w:r>
        <w:rPr>
          <w:rStyle w:val="TextBullet"/>
        </w:rPr>
        <w:t>•</w:t>
      </w:r>
      <w:r>
        <w:rPr>
          <w:rStyle w:val="TextBullet"/>
        </w:rPr>
        <w:tab/>
      </w:r>
      <w:r>
        <w:t xml:space="preserve">four full-day workshops across the State (two in Melbourne, one in Traralgon and one in Ballarat) with representatives from local councils, DELWP and Heritage Victoria to develop potential solutions to the issues identified in the council and community </w:t>
      </w:r>
      <w:r>
        <w:lastRenderedPageBreak/>
        <w:t>surveys. A total of 66 people from 45 different organisations, including 41 local councils, attended the workshops</w:t>
      </w:r>
    </w:p>
    <w:p w14:paraId="74E61BCB" w14:textId="77777777" w:rsidR="00BC5284" w:rsidRDefault="00BC5284">
      <w:pPr>
        <w:pStyle w:val="TextBulletsPara"/>
      </w:pPr>
      <w:r>
        <w:rPr>
          <w:rStyle w:val="TextBullet"/>
        </w:rPr>
        <w:t>•</w:t>
      </w:r>
      <w:r>
        <w:rPr>
          <w:rStyle w:val="TextBullet"/>
        </w:rPr>
        <w:tab/>
      </w:r>
      <w:r>
        <w:t>one half-day workshop in Melbourne with a selection of representatives from the heritage community, including consultants, the Royal Historical Society of Victoria and the National Trust, to develop potential solutions to the issues identified in the council and community surveys.</w:t>
      </w:r>
    </w:p>
    <w:p w14:paraId="3AC52DFD" w14:textId="77777777" w:rsidR="00BC5284" w:rsidRDefault="00BC5284">
      <w:pPr>
        <w:pStyle w:val="Text"/>
      </w:pPr>
      <w:r>
        <w:t>The results of this process have informed the recommendations in this report.</w:t>
      </w:r>
    </w:p>
    <w:p w14:paraId="39820479" w14:textId="77777777" w:rsidR="00BC5284" w:rsidRDefault="00BC5284">
      <w:pPr>
        <w:pStyle w:val="ChapterHeading"/>
        <w:rPr>
          <w:color w:val="000000"/>
          <w:spacing w:val="-6"/>
        </w:rPr>
      </w:pPr>
      <w:r>
        <w:rPr>
          <w:color w:val="000000"/>
        </w:rPr>
        <w:t xml:space="preserve">2. </w:t>
      </w:r>
      <w:r>
        <w:rPr>
          <w:color w:val="000000"/>
          <w:spacing w:val="-6"/>
        </w:rPr>
        <w:t>Heritage protection in Victoria</w:t>
      </w:r>
    </w:p>
    <w:p w14:paraId="4BF26D53" w14:textId="77777777" w:rsidR="00BC5284" w:rsidRDefault="00BC5284">
      <w:pPr>
        <w:pStyle w:val="Intropara"/>
        <w:rPr>
          <w:color w:val="000000"/>
        </w:rPr>
      </w:pPr>
      <w:r>
        <w:rPr>
          <w:color w:val="000000"/>
        </w:rPr>
        <w:t>In order to effectively investigate the current local cultural heritage protection arrangements and how State and local government can work more effectively together, it is first necessary to understand the context in which local cultural heritage protection arrangements operate. This chapter gives a summary of the four levels of heritage protection that operate in the State, focusing in more detail on the two-tiered State and local systems and the way they work together to protect Victoria’s cultural heritage, including the programs, both past and present, to support this protection. There is also a high-level comparison of interstate heritage systems and programs. The way in which other states promote and support local heritage offers meaningful insights for heritage protection in Victoria.</w:t>
      </w:r>
    </w:p>
    <w:p w14:paraId="2E58DB0D" w14:textId="77777777" w:rsidR="00BC5284" w:rsidRDefault="00BC5284">
      <w:pPr>
        <w:pStyle w:val="Headingsubtitle1"/>
        <w:rPr>
          <w:color w:val="000000"/>
        </w:rPr>
      </w:pPr>
      <w:r>
        <w:rPr>
          <w:color w:val="000000"/>
        </w:rPr>
        <w:t>2.1 World and national heritage protection in Victoria</w:t>
      </w:r>
    </w:p>
    <w:p w14:paraId="21D849A8" w14:textId="77777777" w:rsidR="00BC5284" w:rsidRDefault="00BC5284">
      <w:pPr>
        <w:pStyle w:val="Text"/>
      </w:pPr>
      <w:r>
        <w:t>Before examining Victoria’s two-tiered heritage system, it is worth briefly summarising the other levels of heritage protection that operate across the State. While not directly relevant to this investigation, it is provided in order to establish a complete picture of heritage protection.</w:t>
      </w:r>
    </w:p>
    <w:p w14:paraId="018E73E6" w14:textId="77777777" w:rsidR="00BC5284" w:rsidRDefault="00BC5284">
      <w:pPr>
        <w:pStyle w:val="HeadingSubtitle2"/>
        <w:rPr>
          <w:color w:val="000000"/>
        </w:rPr>
      </w:pPr>
      <w:r>
        <w:rPr>
          <w:color w:val="000000"/>
        </w:rPr>
        <w:t>World heritage</w:t>
      </w:r>
    </w:p>
    <w:p w14:paraId="5100E511" w14:textId="77777777" w:rsidR="00BC5284" w:rsidRDefault="00BC5284">
      <w:pPr>
        <w:pStyle w:val="Text"/>
      </w:pPr>
      <w:r>
        <w:t xml:space="preserve">The United Nations Educational, Scientific and Cultural Organization (UNESCO) established the World Heritage List, a register of more than 1,200 cultural and natural places, termed World Heritage Sites, that are of importance to the heritage of humanity. World Heritage Sites are legally protected by an international treaty, the </w:t>
      </w:r>
      <w:r>
        <w:rPr>
          <w:rStyle w:val="TextItalic"/>
          <w:iCs/>
        </w:rPr>
        <w:t>Convention Concerning the Protection of the World’s Cultural and Natural Heritage</w:t>
      </w:r>
      <w:r>
        <w:t>, and are overseen by the UNESCO World Heritage Committee. The Committee decides what places should be added and removed from the List. There are currently 20 World Heritage Sites in Australia, which are managed cooperatively by state and Commonwealth governments in accordance with the Australian World Heritage Intergovernmental Agreement. Victoria is home to two of these sites: The Royal Exhibition Building and Carlton Gardens, and Budj Bim Cultural Landscape, both noted for their cultural significance.</w:t>
      </w:r>
    </w:p>
    <w:p w14:paraId="2A60A4F4" w14:textId="77777777" w:rsidR="00BC5284" w:rsidRDefault="00BC5284">
      <w:pPr>
        <w:pStyle w:val="HeadingSubtitle2"/>
        <w:rPr>
          <w:color w:val="000000"/>
        </w:rPr>
      </w:pPr>
      <w:r>
        <w:rPr>
          <w:color w:val="000000"/>
        </w:rPr>
        <w:t>National heritage</w:t>
      </w:r>
    </w:p>
    <w:p w14:paraId="58A4F988" w14:textId="77777777" w:rsidR="00BC5284" w:rsidRDefault="00BC5284">
      <w:pPr>
        <w:pStyle w:val="Text"/>
      </w:pPr>
      <w:r>
        <w:t xml:space="preserve">Heritage of national significance is the responsibility of the Commonwealth Government under the </w:t>
      </w:r>
      <w:r>
        <w:rPr>
          <w:rStyle w:val="TextItalic"/>
          <w:iCs/>
        </w:rPr>
        <w:t>Environment Protection and Biodiversity Conservation Act 1999</w:t>
      </w:r>
      <w:r>
        <w:rPr>
          <w:rStyle w:val="TextBold"/>
          <w:rFonts w:cs="FreightText Pro Bold"/>
          <w:bCs/>
        </w:rPr>
        <w:t>.</w:t>
      </w:r>
      <w:r>
        <w:t xml:space="preserve"> The Act establishes the National Heritage List (NHL), a statutory list of places that are of heritage significance to the nation. It also establishes the Commonwealth Heritage List (CHL), which is for significant heritage places owned or managed by the Commonwealth Government. Both the NHL and CHL replaced the Register of the National Estate in 2003. The Australian Heritage Council (AHC) was established as an independent body to assess nominations for both lists. For a place to be considered significant and included on the NHL, it must demonstrate outstanding heritage value to the nation as a whole. There are currently 119 places on the NHL and 398 places on the CHL, 32 and 41 of which are in Victoria, respectively.</w:t>
      </w:r>
    </w:p>
    <w:p w14:paraId="4C05CEE4" w14:textId="77777777" w:rsidR="00BC5284" w:rsidRDefault="00BC5284">
      <w:pPr>
        <w:pStyle w:val="Headingsubtitle1"/>
        <w:rPr>
          <w:color w:val="000000"/>
        </w:rPr>
      </w:pPr>
      <w:r>
        <w:rPr>
          <w:color w:val="000000"/>
        </w:rPr>
        <w:t>2.2 State heritage protection in Victoria</w:t>
      </w:r>
    </w:p>
    <w:p w14:paraId="15DEDDAB" w14:textId="77777777" w:rsidR="00BC5284" w:rsidRDefault="00BC5284">
      <w:pPr>
        <w:pStyle w:val="Text"/>
      </w:pPr>
      <w:r>
        <w:t xml:space="preserve">Heritage in Victoria is managed under the </w:t>
      </w:r>
      <w:r>
        <w:rPr>
          <w:rStyle w:val="TextItalic"/>
          <w:iCs/>
        </w:rPr>
        <w:t>Aboriginal Heritage Act 2006</w:t>
      </w:r>
      <w:r>
        <w:t xml:space="preserve">, the </w:t>
      </w:r>
      <w:r>
        <w:rPr>
          <w:rStyle w:val="TextItalic"/>
          <w:iCs/>
        </w:rPr>
        <w:t>Heritage Act 2017</w:t>
      </w:r>
      <w:r>
        <w:t xml:space="preserve"> and the </w:t>
      </w:r>
      <w:r>
        <w:rPr>
          <w:rStyle w:val="TextItalic"/>
          <w:iCs/>
        </w:rPr>
        <w:t>Planning and Environment Act 1987</w:t>
      </w:r>
      <w:r>
        <w:t xml:space="preserve">. The </w:t>
      </w:r>
      <w:r>
        <w:rPr>
          <w:rStyle w:val="TextItalic"/>
          <w:iCs/>
        </w:rPr>
        <w:t>Planning and Environment Act 1987</w:t>
      </w:r>
      <w:r>
        <w:t xml:space="preserve"> is focussed on the protection of heritage of local significance by local government. </w:t>
      </w:r>
    </w:p>
    <w:p w14:paraId="21EA9E9F" w14:textId="77777777" w:rsidR="00BC5284" w:rsidRDefault="00BC5284">
      <w:pPr>
        <w:pStyle w:val="HeadingSubtitle2"/>
        <w:rPr>
          <w:color w:val="000000"/>
        </w:rPr>
      </w:pPr>
      <w:r>
        <w:rPr>
          <w:color w:val="000000"/>
        </w:rPr>
        <w:t>Aboriginal cultural heritage</w:t>
      </w:r>
    </w:p>
    <w:p w14:paraId="40D407C3" w14:textId="77777777" w:rsidR="00BC5284" w:rsidRDefault="00BC5284">
      <w:pPr>
        <w:pStyle w:val="Text"/>
      </w:pPr>
      <w:r>
        <w:t xml:space="preserve">The </w:t>
      </w:r>
      <w:r>
        <w:rPr>
          <w:rStyle w:val="TextItalic"/>
          <w:iCs/>
        </w:rPr>
        <w:t>Aboriginal Heritage Act 2006</w:t>
      </w:r>
      <w:r>
        <w:t xml:space="preserve"> provides for the protection and management of Aboriginal cultural heritage places, objects and ancestral remains in Victoria. The primary bodies responsible for administering the </w:t>
      </w:r>
      <w:r>
        <w:rPr>
          <w:rStyle w:val="TextItalic"/>
          <w:iCs/>
        </w:rPr>
        <w:t>Aboriginal Heritage Act 2006</w:t>
      </w:r>
      <w:r>
        <w:t xml:space="preserve"> include Aboriginal Victoria in the Department of Premier and Cabinet, the Victorian Aboriginal Heritage Council (an independent statutory authority) and Registered Aboriginal Parties (traditional owner groups across Victoria legally recognised under the </w:t>
      </w:r>
      <w:r>
        <w:rPr>
          <w:rStyle w:val="TextItalic"/>
          <w:iCs/>
        </w:rPr>
        <w:t>Aboriginal Heritage Act 2006</w:t>
      </w:r>
      <w:r>
        <w:t xml:space="preserve"> </w:t>
      </w:r>
      <w:r>
        <w:lastRenderedPageBreak/>
        <w:t xml:space="preserve">with responsibilities for managing and protecting Aboriginal cultural heritage). Information on more than 39,000 Aboriginal cultural heritage places and objects is held in the Victorian Aboriginal Heritage Register. Post-contact heritage places can be protected and managed through either the </w:t>
      </w:r>
      <w:r>
        <w:rPr>
          <w:rStyle w:val="TextItalic"/>
          <w:iCs/>
        </w:rPr>
        <w:t>Aboriginal Heritage Act 2006</w:t>
      </w:r>
      <w:r>
        <w:t xml:space="preserve"> or the </w:t>
      </w:r>
      <w:r>
        <w:rPr>
          <w:rStyle w:val="TextItalic"/>
          <w:iCs/>
        </w:rPr>
        <w:t>Heritage Act 2017</w:t>
      </w:r>
      <w:r>
        <w:t xml:space="preserve">. Some Aboriginal cultural heritage places are included in Heritage Overlays, though this is not common. </w:t>
      </w:r>
    </w:p>
    <w:p w14:paraId="213AA10E" w14:textId="77777777" w:rsidR="00BC5284" w:rsidRDefault="00BC5284">
      <w:pPr>
        <w:pStyle w:val="HeadingSubtitle2"/>
        <w:rPr>
          <w:color w:val="000000"/>
        </w:rPr>
      </w:pPr>
      <w:r>
        <w:rPr>
          <w:color w:val="000000"/>
        </w:rPr>
        <w:t>Heritage Council of Victoria</w:t>
      </w:r>
    </w:p>
    <w:p w14:paraId="61414810" w14:textId="77777777" w:rsidR="00BC5284" w:rsidRDefault="00BC5284">
      <w:pPr>
        <w:pStyle w:val="Text"/>
      </w:pPr>
      <w:r>
        <w:t xml:space="preserve">The Heritage Council of Victoria is an independent statutory body comprising 10 members – and 10 alternate members – appointed by the Governor-in-Council. As mentioned earlier, the Heritage Council’s functions and powers are set out in the </w:t>
      </w:r>
      <w:r>
        <w:rPr>
          <w:rStyle w:val="TextItalic"/>
          <w:iCs/>
        </w:rPr>
        <w:t>Heritage Act 2017</w:t>
      </w:r>
      <w:r>
        <w:t xml:space="preserve">. This Act empowers the establishment of the Victorian Heritage Register (VHR), a statutory list of places and objects significant to the State, and the heritage administration arrangements for identifying and protecting those places and objects through the Heritage Council and the Executive Director (currently located within Heritage Victoria). One of its primary functions is to determine whether to include a place or object on the VHR. The Heritage Council has developed and updated guidelines, </w:t>
      </w:r>
      <w:r>
        <w:rPr>
          <w:rStyle w:val="TextItalic"/>
          <w:iCs/>
        </w:rPr>
        <w:t>The Victorian Heritage Register Criteria and Threshold Guidelines (2019)</w:t>
      </w:r>
      <w:r>
        <w:t>, outlining the eight heritage assessment criteria</w:t>
      </w:r>
      <w:r w:rsidR="0028510D">
        <w:rPr>
          <w:rStyle w:val="FootnoteReference"/>
          <w:rFonts w:ascii="FreightSans Pro Medium" w:hAnsi="FreightSans Pro Medium" w:cs="FreightSans Pro Medium"/>
          <w:sz w:val="16"/>
          <w:szCs w:val="16"/>
        </w:rPr>
        <w:footnoteReference w:id="2"/>
      </w:r>
      <w:r>
        <w:rPr>
          <w:rFonts w:ascii="FreightSans Pro Medium" w:hAnsi="FreightSans Pro Medium" w:cs="FreightSans Pro Medium"/>
          <w:sz w:val="16"/>
          <w:szCs w:val="16"/>
        </w:rPr>
        <w:t xml:space="preserve"> </w:t>
      </w:r>
      <w:r>
        <w:t>and key considerations that are used to determine whether a place or object is of State-level cultural heritage significance and could be included in the VHR. The Heritage Council also has a number of advisory and promotional functions, which include:</w:t>
      </w:r>
    </w:p>
    <w:p w14:paraId="7A56591F" w14:textId="77777777" w:rsidR="00BC5284" w:rsidRDefault="00BC5284">
      <w:pPr>
        <w:pStyle w:val="TextBulletsPara"/>
      </w:pPr>
      <w:r>
        <w:rPr>
          <w:rStyle w:val="TextBullet"/>
        </w:rPr>
        <w:t>•</w:t>
      </w:r>
      <w:r>
        <w:rPr>
          <w:rStyle w:val="TextBullet"/>
        </w:rPr>
        <w:tab/>
      </w:r>
      <w:r>
        <w:t>to advise the Minister on the status of the State’s cultural heritage resources and on any steps necessary to protect and conserve them</w:t>
      </w:r>
    </w:p>
    <w:p w14:paraId="5DA5E75B" w14:textId="77777777" w:rsidR="00BC5284" w:rsidRDefault="00BC5284">
      <w:pPr>
        <w:pStyle w:val="TextBulletsPara"/>
      </w:pPr>
      <w:r>
        <w:rPr>
          <w:rStyle w:val="TextBullet"/>
        </w:rPr>
        <w:t>•</w:t>
      </w:r>
      <w:r>
        <w:rPr>
          <w:rStyle w:val="TextBullet"/>
        </w:rPr>
        <w:tab/>
      </w:r>
      <w:r>
        <w:t>to make and publish guidelines in relation to the conservation of cultural heritage</w:t>
      </w:r>
    </w:p>
    <w:p w14:paraId="40A979E1" w14:textId="77777777" w:rsidR="00BC5284" w:rsidRDefault="00BC5284">
      <w:pPr>
        <w:pStyle w:val="TextBulletsPara"/>
      </w:pPr>
      <w:r>
        <w:rPr>
          <w:rStyle w:val="TextBullet"/>
        </w:rPr>
        <w:t>•</w:t>
      </w:r>
      <w:r>
        <w:rPr>
          <w:rStyle w:val="TextBullet"/>
        </w:rPr>
        <w:tab/>
      </w:r>
      <w:r>
        <w:t>to promote public understanding of the State’s cultural heritage and develop and conduct community information and education programs</w:t>
      </w:r>
    </w:p>
    <w:p w14:paraId="40B59530" w14:textId="77777777" w:rsidR="00BC5284" w:rsidRDefault="00BC5284">
      <w:pPr>
        <w:pStyle w:val="TextBulletsPara"/>
      </w:pPr>
      <w:r>
        <w:rPr>
          <w:rStyle w:val="TextBullet"/>
        </w:rPr>
        <w:t>•</w:t>
      </w:r>
      <w:r>
        <w:rPr>
          <w:rStyle w:val="TextBullet"/>
        </w:rPr>
        <w:tab/>
      </w:r>
      <w:r>
        <w:t>to advise government departments and agencies, municipal councils and other responsible authorities on matters relating to the protection and conservation of cultural heritage</w:t>
      </w:r>
    </w:p>
    <w:p w14:paraId="11293439" w14:textId="77777777" w:rsidR="00BC5284" w:rsidRDefault="00BC5284">
      <w:pPr>
        <w:pStyle w:val="TextBulletsPara"/>
      </w:pPr>
      <w:r>
        <w:rPr>
          <w:rStyle w:val="TextBullet"/>
        </w:rPr>
        <w:t>•</w:t>
      </w:r>
      <w:r>
        <w:rPr>
          <w:rStyle w:val="TextBullet"/>
        </w:rPr>
        <w:tab/>
      </w:r>
      <w:r>
        <w:t>to liaise with other bodies responsible for matters relating to the protection, conservation, management and promotion of cultural heritage</w:t>
      </w:r>
    </w:p>
    <w:p w14:paraId="74C523C1" w14:textId="77777777" w:rsidR="00BC5284" w:rsidRDefault="00BC5284">
      <w:pPr>
        <w:pStyle w:val="TextBulletsPara"/>
      </w:pPr>
      <w:r>
        <w:rPr>
          <w:rStyle w:val="TextBullet"/>
        </w:rPr>
        <w:t>•</w:t>
      </w:r>
      <w:r>
        <w:rPr>
          <w:rStyle w:val="TextBullet"/>
        </w:rPr>
        <w:tab/>
      </w:r>
      <w:r>
        <w:t>to initiate and undertake programs of research related to the identification, conservation or interpretation of cultural heritage.</w:t>
      </w:r>
    </w:p>
    <w:p w14:paraId="49F99408" w14:textId="77777777" w:rsidR="00BC5284" w:rsidRDefault="00BC5284">
      <w:pPr>
        <w:pStyle w:val="Text"/>
      </w:pPr>
      <w:r>
        <w:t>The Heritage Council is supported in its functions by a small secretariat.</w:t>
      </w:r>
    </w:p>
    <w:p w14:paraId="06B0C68F" w14:textId="77777777" w:rsidR="00BC5284" w:rsidRDefault="00BC5284">
      <w:pPr>
        <w:pStyle w:val="HeadingSubtitle2"/>
        <w:rPr>
          <w:color w:val="000000"/>
        </w:rPr>
      </w:pPr>
      <w:r>
        <w:rPr>
          <w:color w:val="000000"/>
        </w:rPr>
        <w:t>Executive Director within Heritage Victoria</w:t>
      </w:r>
    </w:p>
    <w:p w14:paraId="46BE12A6" w14:textId="77777777" w:rsidR="00BC5284" w:rsidRDefault="00BC5284">
      <w:pPr>
        <w:pStyle w:val="Text"/>
      </w:pPr>
      <w:r>
        <w:t xml:space="preserve">The Executive Director is a statutory position currently located within Heritage Victoria (HV), a unit within the State Government Department of Environment, Land, Water and Planning (DELWP). The Executive Director’s functions and powers are set out in the </w:t>
      </w:r>
      <w:r>
        <w:rPr>
          <w:rStyle w:val="TextItalic"/>
          <w:iCs/>
        </w:rPr>
        <w:t>Heritage Act 2017</w:t>
      </w:r>
      <w:r>
        <w:t>.</w:t>
      </w:r>
      <w:r w:rsidR="00C41A7D">
        <w:rPr>
          <w:rStyle w:val="FootnoteReference"/>
          <w:rFonts w:cs="FreightText Pro Book"/>
        </w:rPr>
        <w:footnoteReference w:id="3"/>
      </w:r>
      <w:r>
        <w:rPr>
          <w:rFonts w:ascii="FreightSans Pro Medium" w:hAnsi="FreightSans Pro Medium" w:cs="FreightSans Pro Medium"/>
          <w:sz w:val="16"/>
          <w:szCs w:val="16"/>
        </w:rPr>
        <w:t xml:space="preserve"> </w:t>
      </w:r>
      <w:r>
        <w:t>One of its primary functions is to establish and maintain the VHR. The Executive Director may nominate or make recommendations to the Heritage Council about inclusions in the VHR, and consider and issue statutory approvals (permits) for applications to changes to places and objects that have already been included. The Executive Director is also responsible for establishing and administering the Heritage Inventory, a list of all sites of archaeological value, and managing historic shipwrecks and artefacts.</w:t>
      </w:r>
    </w:p>
    <w:p w14:paraId="5B98EBC1" w14:textId="77777777" w:rsidR="00BC5284" w:rsidRDefault="00BC5284">
      <w:pPr>
        <w:pStyle w:val="HeadingSubtitle2"/>
        <w:rPr>
          <w:color w:val="000000"/>
        </w:rPr>
      </w:pPr>
      <w:r>
        <w:rPr>
          <w:color w:val="000000"/>
        </w:rPr>
        <w:t>State Government support for VHR-listed property owners</w:t>
      </w:r>
    </w:p>
    <w:p w14:paraId="14992973" w14:textId="77777777" w:rsidR="00BC5284" w:rsidRDefault="00BC5284">
      <w:pPr>
        <w:pStyle w:val="Text"/>
      </w:pPr>
      <w:r>
        <w:t>The State Government provides financial assistance to places and objects of State significance through Heritage Victoria’s Living Heritage Grants Program (LHGP). The Program, which has been running since 2016 and has a fund worth $60m, currently offers grants of between $20,000 and $200,000 to fund conservation works to ‘at risk’ places and objects in the VHR that deliver and demonstrate benefits for the community. Past projects include St Paul’s Anglican Church in Geelong and the Former Bendigo Gas Works. The LHGP has also previously offered larger grants for more iconic places in the VHR, such Trades Hall in Carlton and Her Majesty’s Theatre in Ballarat. The Program has been extended until 2022–23.</w:t>
      </w:r>
    </w:p>
    <w:p w14:paraId="52D7EE8D" w14:textId="77777777" w:rsidR="00BC5284" w:rsidRDefault="00C41A7D">
      <w:pPr>
        <w:pStyle w:val="Headingsubtitle1"/>
        <w:rPr>
          <w:color w:val="000000"/>
        </w:rPr>
      </w:pPr>
      <w:r>
        <w:rPr>
          <w:color w:val="000000"/>
        </w:rPr>
        <w:br w:type="page"/>
      </w:r>
      <w:r w:rsidR="00BC5284">
        <w:rPr>
          <w:color w:val="000000"/>
        </w:rPr>
        <w:lastRenderedPageBreak/>
        <w:t>2.3 Local heritage protection in Victoria</w:t>
      </w:r>
    </w:p>
    <w:p w14:paraId="40E785E4" w14:textId="77777777" w:rsidR="00BC5284" w:rsidRDefault="00BC5284">
      <w:pPr>
        <w:pStyle w:val="Text"/>
      </w:pPr>
      <w:r>
        <w:t xml:space="preserve">The recognition and protection of heritage of local significance is the responsibility of local councils under the </w:t>
      </w:r>
      <w:r>
        <w:rPr>
          <w:rStyle w:val="TextItalic"/>
          <w:iCs/>
        </w:rPr>
        <w:t>Planning and Environment Act 1987</w:t>
      </w:r>
      <w:r>
        <w:t>. This Act establishes the legal framework for Victoria’s planning system, including the objectives of planning that the system must meet. Under the system, planning authorities – local councils and the State Government for its special planning areas (Alpine Resorts, Port of Melbourne, and French Island and Sandstone Island) – are required to develop and administer planning schemes. A planning scheme is a statutory document that sets out objectives, policies and provisions for the use, development and protection of land in the area to which it applies. The form and contents of all planning schemes are specified in the Victoria Planning Provisions (VPP), a reference document designed to ensure that consistent provisions for various matters are maintained across Victoria. Any amendment to a planning scheme needs to be approved by the Minister for Planning, which is supported by the DELWP Planning Group.</w:t>
      </w:r>
    </w:p>
    <w:p w14:paraId="0D086089" w14:textId="77777777" w:rsidR="00BC5284" w:rsidRDefault="00BC5284">
      <w:pPr>
        <w:pStyle w:val="HeadingSubtitle2"/>
        <w:rPr>
          <w:color w:val="000000"/>
        </w:rPr>
      </w:pPr>
      <w:r>
        <w:rPr>
          <w:color w:val="000000"/>
        </w:rPr>
        <w:t>Local councils</w:t>
      </w:r>
    </w:p>
    <w:p w14:paraId="156C200B" w14:textId="77777777" w:rsidR="00BC5284" w:rsidRDefault="00BC5284">
      <w:pPr>
        <w:pStyle w:val="Text"/>
      </w:pPr>
      <w:r>
        <w:t>Local councils, as planning authorities, have a statutory obligation to ensure that the planning schemes ‘conserve and enhance those buildings, areas or other places which are of scientific, aesthetic, architectural or historical interest, or otherwise of special cultural value’.</w:t>
      </w:r>
      <w:r w:rsidR="00C41A7D">
        <w:rPr>
          <w:rStyle w:val="FootnoteReference"/>
          <w:rFonts w:cs="FreightText Pro Book"/>
        </w:rPr>
        <w:footnoteReference w:id="4"/>
      </w:r>
      <w:r>
        <w:rPr>
          <w:rFonts w:ascii="FreightSans Pro Medium" w:hAnsi="FreightSans Pro Medium" w:cs="FreightSans Pro Medium"/>
          <w:sz w:val="16"/>
          <w:szCs w:val="16"/>
        </w:rPr>
        <w:t xml:space="preserve"> </w:t>
      </w:r>
      <w:r>
        <w:t xml:space="preserve">They do so by undertaking heritage studies or assessments of places (mainly buildings but also other structures and vegetation) thought to be of heritage value. Councils use the information in these heritage studies to decide if a place’s heritage significance is enough to warrant statutory protection at the local level. Heritage studies play a crucial role in the local heritage protection process and are explored further in Chapter 3. </w:t>
      </w:r>
    </w:p>
    <w:p w14:paraId="186EED58" w14:textId="77777777" w:rsidR="00BC5284" w:rsidRDefault="00BC5284">
      <w:pPr>
        <w:pStyle w:val="HeadingSubtitle3"/>
        <w:rPr>
          <w:color w:val="000000"/>
        </w:rPr>
      </w:pPr>
      <w:r>
        <w:rPr>
          <w:color w:val="000000"/>
        </w:rPr>
        <w:t>The Heritage Overlay</w:t>
      </w:r>
    </w:p>
    <w:p w14:paraId="729408E1" w14:textId="77777777" w:rsidR="00BC5284" w:rsidRDefault="00BC5284">
      <w:pPr>
        <w:pStyle w:val="Text"/>
      </w:pPr>
      <w:r>
        <w:t>Places, either individual places (properties – mainly buildings but also other structures and vegetation) or precinct places (a grouping of properties), determined to be of local significance are to be protected through the application of the Heritage Overlay (HO). The HO’s role is to conserve and enhance the heritage place and those elements which contribute to its significance, while also ensuring that development does not adversely affect this significance. Under a HO, a planning permit is required from the council, as a responsible authority, to conduct works on a place, excluding routine maintenance, repairs and some other minor works. HOs are also applied to places of State significance on the VHR, so as to signify that they have State-level protection. A permit is required from Heritage Victoria to conduct works. This can be a source of confusion for people who do not understand the system.</w:t>
      </w:r>
    </w:p>
    <w:p w14:paraId="34259D9E" w14:textId="77777777" w:rsidR="00BC5284" w:rsidRDefault="00BC5284">
      <w:pPr>
        <w:pStyle w:val="Text"/>
      </w:pPr>
      <w:r>
        <w:t xml:space="preserve">The application of the HO to a property requires councils, as a planning authority, to amend their planning scheme. The amendment process is quite lengthy and requires constant collaboration between councils and the Minister through DELWP Planning. The Act requires the Minister to authorise councils to undertake the amendment and for councils to publicly exhibit the amendment and consider submissions on that amendment. If objections are submitted that cannot be resolved by the council, the Minister must appoint an independent planning panel from Planning Panels Victoria (PPV). The panel considers the submissions and makes recommendations to the council, which decides how to proceed with the amendment. The amendment ultimately needs to be approved by the Minister. </w:t>
      </w:r>
    </w:p>
    <w:p w14:paraId="221C963C" w14:textId="77777777" w:rsidR="00BC5284" w:rsidRDefault="00BC5284">
      <w:pPr>
        <w:pStyle w:val="Text"/>
      </w:pPr>
      <w:r>
        <w:t>While changes to the HO and planning system are not in the scope of the Review, there is some work that can be done to help councils increase the likelihood of ensuring their heritage studies are translated. This is explored further in the next chapter.</w:t>
      </w:r>
    </w:p>
    <w:p w14:paraId="3DBC3B7D" w14:textId="77777777" w:rsidR="00BC5284" w:rsidRDefault="00BC5284">
      <w:pPr>
        <w:pStyle w:val="HeadingSubtitle2"/>
        <w:rPr>
          <w:color w:val="000000"/>
        </w:rPr>
      </w:pPr>
      <w:r>
        <w:rPr>
          <w:color w:val="000000"/>
        </w:rPr>
        <w:t>State Government support for councils</w:t>
      </w:r>
    </w:p>
    <w:p w14:paraId="7942ED05" w14:textId="77777777" w:rsidR="00BC5284" w:rsidRDefault="00BC5284">
      <w:pPr>
        <w:pStyle w:val="Text"/>
      </w:pPr>
      <w:r>
        <w:t>The Commonwealth and State Governments used to provide financial support for local councils to identify and protect their heritage. Between the mid-1970s and 1996, the Commonwealth Government ran the National Estate Grants Program, which many councils in Victoria used to access funding to assist with undertaking heritage studies. With the ending of the program in 1996, the State Government provided funding assistance for local heritage. A fund of approximately $300,000 was made available each year to councils wishing to undertake heritage studies, with the expectation that councils would translate the recommendations of the studies into planning scheme protection. Another $300,000 was made available in matching funds each year for councils to establish their own part-time Heritage Advisor positions. To be eligible, councils needed to have completed and implemented a heritage study. Both State Government funding streams ceased in 2012 on the premise that an adequate groundwork for local heritage had been established and it was now appropriate for councils to take on the responsibility of funding their own local heritage protection and management.</w:t>
      </w:r>
    </w:p>
    <w:p w14:paraId="178BC504" w14:textId="77777777" w:rsidR="00BC5284" w:rsidRDefault="00BC5284">
      <w:pPr>
        <w:pStyle w:val="Text"/>
      </w:pPr>
      <w:r>
        <w:lastRenderedPageBreak/>
        <w:t xml:space="preserve">The DELWP Planning Group currently provides some assistance to local councils to meet their heritage conservation obligations. However, it does not provide financial support. At present, DELWP provides assistance primarily in the form of a planning practice note, </w:t>
      </w:r>
      <w:r>
        <w:rPr>
          <w:rStyle w:val="TextItalic"/>
          <w:iCs/>
        </w:rPr>
        <w:t>Planning Practice Note 1 – Applying the Heritage Overlay</w:t>
      </w:r>
      <w:r>
        <w:t xml:space="preserve"> (2018), which provides written advice for planners on the operation and </w:t>
      </w:r>
    </w:p>
    <w:p w14:paraId="6811E904" w14:textId="77777777" w:rsidR="00BC5284" w:rsidRDefault="00BC5284">
      <w:pPr>
        <w:pStyle w:val="Text"/>
      </w:pPr>
      <w:r>
        <w:t>application of the Heritage Overlay. Heritage Victoria also provides a suite of documents on its website to support councils to improve their local heritage processes, including guides for engaging a consultant to undertake a heritage study, engaging the services of a Heritage Advisor and implementing an incentives program. Outside of DELWP, the Heritage Council provides support by running a forum for local government officers and planners. Forums were held in 2018 in Docklands and 2019 in Whittlesea, and one was planned for 2020 but has been cancelled due to the COVID-19 pandemic.</w:t>
      </w:r>
    </w:p>
    <w:p w14:paraId="122531FF" w14:textId="77777777" w:rsidR="00BC5284" w:rsidRDefault="00BC5284">
      <w:pPr>
        <w:pStyle w:val="Headingsubtitle1"/>
        <w:rPr>
          <w:color w:val="000000"/>
        </w:rPr>
      </w:pPr>
      <w:r>
        <w:rPr>
          <w:color w:val="000000"/>
        </w:rPr>
        <w:t>2.4 Overview of interstate heritage protection</w:t>
      </w:r>
    </w:p>
    <w:p w14:paraId="37FBBA8F" w14:textId="77777777" w:rsidR="00BC5284" w:rsidRDefault="00BC5284">
      <w:pPr>
        <w:pStyle w:val="Text"/>
      </w:pPr>
      <w:r>
        <w:t xml:space="preserve">A high-level desktop review of interstate heritage systems and programs that support local heritage was conducted in order to ascertain if there are any practices, especially in the areas of education and promotion of the value of heritage, that could be adopted or from which lessons could be learned. This review has been summarised and is presented in </w:t>
      </w:r>
      <w:r>
        <w:rPr>
          <w:rStyle w:val="TextBold"/>
          <w:rFonts w:cs="FreightText Pro Bold"/>
          <w:bCs/>
        </w:rPr>
        <w:t>Appendix 1</w:t>
      </w:r>
      <w:r>
        <w:t xml:space="preserve">. </w:t>
      </w:r>
    </w:p>
    <w:p w14:paraId="4F30DF42" w14:textId="77777777" w:rsidR="00BC5284" w:rsidRDefault="00BC5284">
      <w:pPr>
        <w:pStyle w:val="Text"/>
      </w:pPr>
      <w:r>
        <w:t xml:space="preserve">Victoria’s two-tiered heritage system is similar to that of every other Australian state in that heritage of state significance is protected through a state register and heritage of local significance is protected through the planning system. There are some differences in who is responsible for deciding on listings on the state register. Victoria is one of five states and territories where inclusion in the state register is determined by a heritage council, rather than a relevant minister. Interestingly, both the ACT and the NT do not have local heritage systems. All of the states list local heritage in their planning schemes, plans or local registers. Several states also list their local heritage on the state register. </w:t>
      </w:r>
    </w:p>
    <w:p w14:paraId="20F1C29E" w14:textId="77777777" w:rsidR="00BC5284" w:rsidRDefault="00BC5284">
      <w:pPr>
        <w:pStyle w:val="Text"/>
      </w:pPr>
      <w:r>
        <w:t xml:space="preserve">Only two states currently provide or have recently provided a meaningful program of support for local heritage. </w:t>
      </w:r>
    </w:p>
    <w:p w14:paraId="75C3E07E" w14:textId="77777777" w:rsidR="00BC5284" w:rsidRDefault="00BC5284">
      <w:pPr>
        <w:pStyle w:val="HeadingSubtitle2"/>
        <w:rPr>
          <w:color w:val="000000"/>
        </w:rPr>
      </w:pPr>
      <w:r>
        <w:rPr>
          <w:color w:val="000000"/>
        </w:rPr>
        <w:t>New South Wales</w:t>
      </w:r>
    </w:p>
    <w:p w14:paraId="76882B58" w14:textId="77777777" w:rsidR="00BC5284" w:rsidRDefault="00BC5284">
      <w:pPr>
        <w:pStyle w:val="Text"/>
      </w:pPr>
      <w:r>
        <w:t xml:space="preserve">The NSW State Government recently concluded its ‘Heritage Near Me’ (HNM) program. The program, which began in 2015 and had a budget of $28.5m over four years, contained two principal elements. The first was an incentives program with more than $15m in grants awarded to 205 local heritage projects. The second element was a roadshow. Four major roadshow events were held: three in rural areas (Broken Hill, Clarence Valley and Bega Valley) and one in the metro area (Western Sydney). The roadshow events worked with local community groups to provide forums to discuss the importance of heritage, workshops to learn heritage skills, activities to learn about and celebrate different cultures, the delivery of a virtual-reality film exploring the diverse heritage of key places and information kiosks about heritage management, grants and opportunities. The roadshow team also joined 70 other events, such as local heritage festivals, to showcase its film and brochures. The funding also supported enhancements to Heritage NSW’s database and information management systems, and the development of a heritage sites web app. </w:t>
      </w:r>
    </w:p>
    <w:p w14:paraId="60F3CC9F" w14:textId="77777777" w:rsidR="00BC5284" w:rsidRDefault="00BC5284">
      <w:pPr>
        <w:pStyle w:val="Text"/>
      </w:pPr>
      <w:r>
        <w:t xml:space="preserve">Several key officers responsible for the HNM program were interviewed. When reflecting on the program, the officers said that the program produced good heritage outcomes, particularly around heritage awareness and appreciation in the community, but noted the need to not be overly ambitious and to involve councils early. They recommended the establishment of a similar program in </w:t>
      </w:r>
      <w:r>
        <w:rPr>
          <w:spacing w:val="-2"/>
        </w:rPr>
        <w:t>other states, providing that the local council and community</w:t>
      </w:r>
      <w:r>
        <w:t xml:space="preserve"> is allowed meaningful input. Managing community expectations from a short-term but focused outreach program like HNM was identified as an issue, as was the integration of the project with existing programs within Heritage NSW such as its state-asset management role, grants and communications.</w:t>
      </w:r>
    </w:p>
    <w:p w14:paraId="03FDE122" w14:textId="77777777" w:rsidR="00BC5284" w:rsidRDefault="00BC5284">
      <w:pPr>
        <w:pStyle w:val="HeadingSubtitle2"/>
        <w:rPr>
          <w:color w:val="000000"/>
        </w:rPr>
      </w:pPr>
      <w:r>
        <w:rPr>
          <w:color w:val="000000"/>
        </w:rPr>
        <w:t>Tasmania</w:t>
      </w:r>
    </w:p>
    <w:p w14:paraId="3DB28202" w14:textId="77777777" w:rsidR="00BC5284" w:rsidRDefault="00BC5284">
      <w:pPr>
        <w:pStyle w:val="Text"/>
      </w:pPr>
      <w:r>
        <w:t xml:space="preserve">Heritage Tasmania in the Department of Primary Industries, Parks, Water and Environment (DPIPWE) supports the work of the Tasmanian Heritage Council and runs the ‘Heritage: Everything for Local Planning’ (HELP) program. HELP consists of a dedicated heritage planner position to coordinate the integration of historic heritage and planning legislation in Tasmania, liaise with local planning authorities/councils and provide planning and heritage advice, support the planning reform process, maintain an online toolkit to support council planners and, initially, to host an annual forum. Three forums were held between 2013 and 2015. However, a strategic focus on planning reforms by local government and limited interest/need has seen the program focus on a more targeted and personalised response. The program also provides information sheets for planners explaining the system and responsibilities of councils, offers training sessions about legislative changes and sponsors a trade booth at the Local Government Association of Tasmania’s (LGAT) annual conference. The HELP program’s main budgeted item is staffing (approximately $100,000), with other expenses covered by Heritage Tasmania’s operational budget. Heritage Tasmania reflected that having a dedicated position to coordinate this engagement and liaise with councils has been invaluable and had an immediate, positive and ongoing </w:t>
      </w:r>
      <w:r>
        <w:lastRenderedPageBreak/>
        <w:t>impact on improving local and State historic heritage outcomes across the State, more so than forums or documents, as it allowed for advice and support to be personalised and targeted to the individual needs of each local planning authority.</w:t>
      </w:r>
    </w:p>
    <w:p w14:paraId="04326A76" w14:textId="77777777" w:rsidR="00BC5284" w:rsidRDefault="00BC5284">
      <w:pPr>
        <w:pStyle w:val="HeadingSubtitle2"/>
        <w:rPr>
          <w:color w:val="000000"/>
        </w:rPr>
      </w:pPr>
      <w:r>
        <w:rPr>
          <w:color w:val="000000"/>
        </w:rPr>
        <w:t>Learnings</w:t>
      </w:r>
    </w:p>
    <w:p w14:paraId="1D2ADB47" w14:textId="77777777" w:rsidR="00BC5284" w:rsidRDefault="00BC5284">
      <w:pPr>
        <w:pStyle w:val="Text"/>
      </w:pPr>
      <w:r>
        <w:t>The HNM and HELP programs offer a key insight for local heritage improvement in Victoria. At the heart of both programs is the idea of the ‘local’. As they are the key stakeholders in local heritage, councils and the community must be involved early and consistently in the development of any initiatives to promote or support heritage. The New South Wales and Tasmania examples show that working together rather than in isolation is the best way to achieve good heritage outcomes. Tasmania achieved success through targeted, personalised advice and support, while New South Wales realised that partnerships with councils resulted in success. This insight will help inform the recommendations in this report.</w:t>
      </w:r>
    </w:p>
    <w:p w14:paraId="102B054B" w14:textId="77777777" w:rsidR="00BC5284" w:rsidRDefault="00BC5284">
      <w:pPr>
        <w:pStyle w:val="ChapterHeading"/>
        <w:rPr>
          <w:color w:val="000000"/>
          <w:spacing w:val="-6"/>
        </w:rPr>
      </w:pPr>
      <w:r>
        <w:rPr>
          <w:color w:val="000000"/>
        </w:rPr>
        <w:t xml:space="preserve">3. </w:t>
      </w:r>
      <w:r>
        <w:rPr>
          <w:color w:val="000000"/>
          <w:spacing w:val="-6"/>
        </w:rPr>
        <w:t>Analysis of local heritage provisions in Victoria</w:t>
      </w:r>
    </w:p>
    <w:p w14:paraId="5D76C132" w14:textId="77777777" w:rsidR="00BC5284" w:rsidRDefault="00BC5284">
      <w:pPr>
        <w:pStyle w:val="Intropara"/>
        <w:rPr>
          <w:color w:val="000000"/>
        </w:rPr>
      </w:pPr>
      <w:r>
        <w:rPr>
          <w:color w:val="000000"/>
        </w:rPr>
        <w:t>This chapter presents and analyses the data from the council survey (79 councils and one ARMB respondents), the community survey (123 respondents), the various desktop reviews and the workshops. It is intended to present a clear picture of all current arrangements, which can be used as a point of comparison in future years, and an analysis of those arrangements. It is from this analysis that recommendations to enhance and improve the way State and local government work together to recognise, protect and manage local cultural heritage will be made in the next chapter.</w:t>
      </w:r>
    </w:p>
    <w:p w14:paraId="2FDE88C9" w14:textId="77777777" w:rsidR="00BC5284" w:rsidRDefault="00BC5284">
      <w:pPr>
        <w:pStyle w:val="Headingsubtitle1"/>
        <w:rPr>
          <w:color w:val="000000"/>
        </w:rPr>
      </w:pPr>
      <w:r>
        <w:rPr>
          <w:color w:val="000000"/>
        </w:rPr>
        <w:t>3.1 Data grouping and presentation</w:t>
      </w:r>
    </w:p>
    <w:p w14:paraId="073256E6" w14:textId="77777777" w:rsidR="00BC5284" w:rsidRDefault="00BC5284">
      <w:pPr>
        <w:pStyle w:val="Text"/>
      </w:pPr>
      <w:r>
        <w:t xml:space="preserve">Data on the provisions for local heritage in Victoria was collected through the council and community surveys, and </w:t>
      </w:r>
      <w:r>
        <w:rPr>
          <w:spacing w:val="-2"/>
        </w:rPr>
        <w:t>desktop reviews. The 79 council and one ARMB participants,</w:t>
      </w:r>
      <w:r>
        <w:t xml:space="preserve"> hereafter referred to as just ‘councils’, represent very diverse areas in terms of location, size, population, rate base and heritage assets. Consequently, there was a need to consider how best to group data for the most meaningful analysis. Several different options were considered. Basic sub-groupings of metropolitan and rural councils were not fine-grained enough and non-geographical groupings based on population or council expenditure resulted in councils with very different heritage issues. It was ultimately decided to group councils into categories based on types, as it best brought together councils with similar heritage issues. The categories are defined in Table 3.1 and illustrated in Figure 3.1.</w:t>
      </w:r>
    </w:p>
    <w:p w14:paraId="313C5ACC" w14:textId="77777777" w:rsidR="00BC5284" w:rsidRDefault="00BC5284">
      <w:pPr>
        <w:pStyle w:val="Headingsubtitle1"/>
        <w:rPr>
          <w:color w:val="000000"/>
        </w:rPr>
      </w:pPr>
      <w:r>
        <w:rPr>
          <w:color w:val="000000"/>
        </w:rPr>
        <w:t>3.2 Stocktake tables</w:t>
      </w:r>
    </w:p>
    <w:p w14:paraId="73740226" w14:textId="77777777" w:rsidR="00BC5284" w:rsidRDefault="00BC5284">
      <w:pPr>
        <w:pStyle w:val="Text"/>
      </w:pPr>
      <w:r>
        <w:t>A pair of stocktake tables have been created to bring together data on local heritage provisions. Importantly, this can be used as a baseline for future comparisons.</w:t>
      </w:r>
    </w:p>
    <w:p w14:paraId="448354EE" w14:textId="77777777" w:rsidR="00BC5284" w:rsidRDefault="00BC5284">
      <w:pPr>
        <w:pStyle w:val="Text"/>
      </w:pPr>
      <w:r>
        <w:t xml:space="preserve">Table 3.2 presents data on council size and HOs. This was compiled from the desktop review of HOs. The population data was captured from the Australian Bureau of Statistics’ estimated resident population for LGAs in Victoria as of 30 June 2018. The HO data was captured as of 5 April 2019. </w:t>
      </w:r>
    </w:p>
    <w:p w14:paraId="7D5E024D" w14:textId="77777777" w:rsidR="00BC5284" w:rsidRDefault="00BC5284">
      <w:pPr>
        <w:pStyle w:val="Text"/>
      </w:pPr>
      <w:r>
        <w:t xml:space="preserve">Table 3.3 presents data on the recentness of heritage studies, gaps in heritage studies and implementation, supportive measures and communication mechanisms. This was compiled from the council surveys. </w:t>
      </w:r>
    </w:p>
    <w:p w14:paraId="1A8B4DFE" w14:textId="77777777" w:rsidR="00D65164" w:rsidRDefault="00BC5284">
      <w:pPr>
        <w:pStyle w:val="Text"/>
      </w:pPr>
      <w:r>
        <w:t xml:space="preserve">A combined version of both stocktake tables is presented as </w:t>
      </w:r>
      <w:r>
        <w:rPr>
          <w:rStyle w:val="TextBold"/>
          <w:rFonts w:cs="FreightText Pro Bold"/>
          <w:bCs/>
          <w:spacing w:val="-4"/>
        </w:rPr>
        <w:t>Appendix 2</w:t>
      </w:r>
      <w:r>
        <w:rPr>
          <w:spacing w:val="-4"/>
        </w:rPr>
        <w:t>. The individual heritage elements of the stocktake</w:t>
      </w:r>
      <w:r>
        <w:t xml:space="preserve"> tables will be explored in more detail later in this chapter.</w:t>
      </w:r>
    </w:p>
    <w:p w14:paraId="6D3BD33A" w14:textId="77777777" w:rsidR="00C90BE4" w:rsidRDefault="00C90BE4">
      <w:pPr>
        <w:pStyle w:val="Tex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1191"/>
        <w:gridCol w:w="2395"/>
        <w:gridCol w:w="1290"/>
      </w:tblGrid>
      <w:tr w:rsidR="00BC5284" w:rsidRPr="00BC5284" w14:paraId="01D996FA" w14:textId="77777777" w:rsidTr="00D65164">
        <w:trPr>
          <w:trHeight w:val="60"/>
        </w:trPr>
        <w:tc>
          <w:tcPr>
            <w:tcW w:w="4876" w:type="dxa"/>
            <w:gridSpan w:val="3"/>
            <w:tcBorders>
              <w:top w:val="single" w:sz="6" w:space="0" w:color="000000"/>
              <w:left w:val="single" w:sz="6" w:space="0" w:color="000000"/>
              <w:bottom w:val="single" w:sz="6" w:space="0" w:color="auto"/>
              <w:right w:val="single" w:sz="6" w:space="0" w:color="000000"/>
            </w:tcBorders>
            <w:tcMar>
              <w:top w:w="80" w:type="dxa"/>
              <w:left w:w="0" w:type="dxa"/>
              <w:bottom w:w="113" w:type="dxa"/>
              <w:right w:w="80" w:type="dxa"/>
            </w:tcMar>
          </w:tcPr>
          <w:p w14:paraId="2B233CA0" w14:textId="77777777" w:rsidR="00BC5284" w:rsidRPr="00BC5284" w:rsidRDefault="00BC5284">
            <w:pPr>
              <w:pStyle w:val="TableTitleandnumber"/>
            </w:pPr>
            <w:r w:rsidRPr="00BC5284">
              <w:t>Table 3.1 Council groupings table</w:t>
            </w:r>
          </w:p>
        </w:tc>
      </w:tr>
      <w:tr w:rsidR="00BC5284" w:rsidRPr="00BC5284" w14:paraId="3CC9CC71" w14:textId="77777777" w:rsidTr="00D65164">
        <w:trPr>
          <w:trHeight w:val="60"/>
        </w:trPr>
        <w:tc>
          <w:tcPr>
            <w:tcW w:w="1191" w:type="dxa"/>
            <w:tcBorders>
              <w:top w:val="single" w:sz="6" w:space="0" w:color="auto"/>
              <w:left w:val="single" w:sz="6" w:space="0" w:color="auto"/>
              <w:bottom w:val="single" w:sz="6" w:space="0" w:color="auto"/>
              <w:right w:val="single" w:sz="6" w:space="0" w:color="000000"/>
            </w:tcBorders>
            <w:shd w:val="clear" w:color="313E48" w:fill="auto"/>
            <w:tcMar>
              <w:top w:w="113" w:type="dxa"/>
              <w:left w:w="80" w:type="dxa"/>
              <w:bottom w:w="113" w:type="dxa"/>
              <w:right w:w="80" w:type="dxa"/>
            </w:tcMar>
          </w:tcPr>
          <w:p w14:paraId="1381A7ED" w14:textId="77777777" w:rsidR="00BC5284" w:rsidRPr="00352FC0" w:rsidRDefault="00BC5284">
            <w:pPr>
              <w:pStyle w:val="TableHeading1"/>
              <w:rPr>
                <w:color w:val="000000"/>
              </w:rPr>
            </w:pPr>
            <w:r w:rsidRPr="00352FC0">
              <w:rPr>
                <w:color w:val="000000"/>
              </w:rPr>
              <w:t>Groups</w:t>
            </w:r>
          </w:p>
        </w:tc>
        <w:tc>
          <w:tcPr>
            <w:tcW w:w="2395" w:type="dxa"/>
            <w:tcBorders>
              <w:top w:val="single" w:sz="6" w:space="0" w:color="auto"/>
              <w:left w:val="single" w:sz="6" w:space="0" w:color="000000"/>
              <w:bottom w:val="single" w:sz="6" w:space="0" w:color="auto"/>
              <w:right w:val="single" w:sz="6" w:space="0" w:color="000000"/>
            </w:tcBorders>
            <w:shd w:val="clear" w:color="313E48" w:fill="auto"/>
            <w:tcMar>
              <w:top w:w="113" w:type="dxa"/>
              <w:left w:w="80" w:type="dxa"/>
              <w:bottom w:w="113" w:type="dxa"/>
              <w:right w:w="80" w:type="dxa"/>
            </w:tcMar>
          </w:tcPr>
          <w:p w14:paraId="7013DDED" w14:textId="77777777" w:rsidR="00BC5284" w:rsidRPr="00352FC0" w:rsidRDefault="00BC5284">
            <w:pPr>
              <w:pStyle w:val="TableHeading1"/>
              <w:jc w:val="center"/>
              <w:rPr>
                <w:color w:val="000000"/>
              </w:rPr>
            </w:pPr>
            <w:r w:rsidRPr="00352FC0">
              <w:rPr>
                <w:color w:val="000000"/>
              </w:rPr>
              <w:t>Explanation</w:t>
            </w:r>
          </w:p>
        </w:tc>
        <w:tc>
          <w:tcPr>
            <w:tcW w:w="1290" w:type="dxa"/>
            <w:tcBorders>
              <w:top w:val="single" w:sz="6" w:space="0" w:color="auto"/>
              <w:left w:val="single" w:sz="6" w:space="0" w:color="000000"/>
              <w:bottom w:val="single" w:sz="6" w:space="0" w:color="auto"/>
              <w:right w:val="single" w:sz="6" w:space="0" w:color="auto"/>
            </w:tcBorders>
            <w:shd w:val="clear" w:color="313E48" w:fill="auto"/>
            <w:tcMar>
              <w:top w:w="113" w:type="dxa"/>
              <w:left w:w="80" w:type="dxa"/>
              <w:bottom w:w="113" w:type="dxa"/>
              <w:right w:w="80" w:type="dxa"/>
            </w:tcMar>
          </w:tcPr>
          <w:p w14:paraId="4535D218" w14:textId="77777777" w:rsidR="00BC5284" w:rsidRPr="00352FC0" w:rsidRDefault="00BC5284">
            <w:pPr>
              <w:pStyle w:val="TableHeading1"/>
              <w:jc w:val="center"/>
              <w:rPr>
                <w:color w:val="000000"/>
              </w:rPr>
            </w:pPr>
            <w:r w:rsidRPr="00352FC0">
              <w:rPr>
                <w:color w:val="000000"/>
              </w:rPr>
              <w:t>Number of councils</w:t>
            </w:r>
          </w:p>
        </w:tc>
      </w:tr>
      <w:tr w:rsidR="00BC5284" w:rsidRPr="00BC5284" w14:paraId="2A7722AC" w14:textId="77777777" w:rsidTr="00D65164">
        <w:trPr>
          <w:trHeight w:val="60"/>
        </w:trPr>
        <w:tc>
          <w:tcPr>
            <w:tcW w:w="1191" w:type="dxa"/>
            <w:tcBorders>
              <w:top w:val="single" w:sz="6" w:space="0" w:color="auto"/>
              <w:left w:val="single" w:sz="6" w:space="0" w:color="000000"/>
              <w:bottom w:val="single" w:sz="6" w:space="0" w:color="auto"/>
              <w:right w:val="single" w:sz="6" w:space="0" w:color="000000"/>
            </w:tcBorders>
            <w:tcMar>
              <w:top w:w="170" w:type="dxa"/>
              <w:left w:w="0" w:type="dxa"/>
              <w:bottom w:w="170" w:type="dxa"/>
              <w:right w:w="80" w:type="dxa"/>
            </w:tcMar>
          </w:tcPr>
          <w:p w14:paraId="24B4F035" w14:textId="77777777" w:rsidR="00BC5284" w:rsidRPr="00BC5284" w:rsidRDefault="00D65164">
            <w:pPr>
              <w:pStyle w:val="TableText"/>
            </w:pPr>
            <w:r>
              <w:rPr>
                <w:rStyle w:val="TabletextBold"/>
                <w:rFonts w:cs="FreightSans Pro Bold"/>
                <w:bCs/>
              </w:rPr>
              <w:t xml:space="preserve">  </w:t>
            </w:r>
            <w:r w:rsidR="00BC5284" w:rsidRPr="00BC5284">
              <w:rPr>
                <w:rStyle w:val="TabletextBold"/>
                <w:rFonts w:cs="FreightSans Pro Bold"/>
                <w:bCs/>
              </w:rPr>
              <w:t>Metro Inner</w:t>
            </w:r>
            <w:r w:rsidR="00BC5284" w:rsidRPr="00BC5284">
              <w:t xml:space="preserve"> </w:t>
            </w:r>
          </w:p>
        </w:tc>
        <w:tc>
          <w:tcPr>
            <w:tcW w:w="2395" w:type="dxa"/>
            <w:tcBorders>
              <w:top w:val="single" w:sz="6" w:space="0" w:color="auto"/>
              <w:left w:val="single" w:sz="6" w:space="0" w:color="000000"/>
              <w:bottom w:val="single" w:sz="2" w:space="0" w:color="000000"/>
              <w:right w:val="single" w:sz="6" w:space="0" w:color="000000"/>
            </w:tcBorders>
            <w:tcMar>
              <w:top w:w="170" w:type="dxa"/>
              <w:left w:w="80" w:type="dxa"/>
              <w:bottom w:w="170" w:type="dxa"/>
              <w:right w:w="80" w:type="dxa"/>
            </w:tcMar>
          </w:tcPr>
          <w:p w14:paraId="4C6FDCF9" w14:textId="77777777" w:rsidR="00BC5284" w:rsidRPr="00BC5284" w:rsidRDefault="00BC5284">
            <w:pPr>
              <w:pStyle w:val="TableText"/>
            </w:pPr>
            <w:r w:rsidRPr="00BC5284">
              <w:t xml:space="preserve">Inner-ring metropolitan Melbourne cities, as per </w:t>
            </w:r>
            <w:r w:rsidRPr="00BC5284">
              <w:rPr>
                <w:i/>
                <w:iCs/>
              </w:rPr>
              <w:t>Plan Melbourne 2017-2050</w:t>
            </w:r>
          </w:p>
        </w:tc>
        <w:tc>
          <w:tcPr>
            <w:tcW w:w="1290" w:type="dxa"/>
            <w:tcBorders>
              <w:top w:val="single" w:sz="6" w:space="0" w:color="auto"/>
              <w:left w:val="single" w:sz="6" w:space="0" w:color="000000"/>
              <w:bottom w:val="single" w:sz="2" w:space="0" w:color="000000"/>
              <w:right w:val="single" w:sz="6" w:space="0" w:color="000000"/>
            </w:tcBorders>
            <w:tcMar>
              <w:top w:w="170" w:type="dxa"/>
              <w:left w:w="80" w:type="dxa"/>
              <w:bottom w:w="170" w:type="dxa"/>
              <w:right w:w="80" w:type="dxa"/>
            </w:tcMar>
          </w:tcPr>
          <w:p w14:paraId="7A7D0D60" w14:textId="77777777" w:rsidR="00BC5284" w:rsidRPr="00BC5284" w:rsidRDefault="00BC5284">
            <w:pPr>
              <w:pStyle w:val="TableText"/>
              <w:jc w:val="center"/>
            </w:pPr>
            <w:r w:rsidRPr="00BC5284">
              <w:t>7</w:t>
            </w:r>
          </w:p>
        </w:tc>
      </w:tr>
      <w:tr w:rsidR="00BC5284" w:rsidRPr="00BC5284" w14:paraId="6EF49FB3" w14:textId="77777777" w:rsidTr="00D65164">
        <w:trPr>
          <w:trHeight w:val="60"/>
        </w:trPr>
        <w:tc>
          <w:tcPr>
            <w:tcW w:w="1191" w:type="dxa"/>
            <w:tcBorders>
              <w:top w:val="single" w:sz="6" w:space="0" w:color="auto"/>
              <w:left w:val="single" w:sz="6" w:space="0" w:color="000000"/>
              <w:bottom w:val="single" w:sz="6" w:space="0" w:color="000000"/>
              <w:right w:val="single" w:sz="6" w:space="0" w:color="000000"/>
            </w:tcBorders>
            <w:tcMar>
              <w:top w:w="170" w:type="dxa"/>
              <w:left w:w="0" w:type="dxa"/>
              <w:bottom w:w="170" w:type="dxa"/>
              <w:right w:w="80" w:type="dxa"/>
            </w:tcMar>
          </w:tcPr>
          <w:p w14:paraId="3779F1A2" w14:textId="77777777" w:rsidR="00BC5284" w:rsidRPr="00BC5284" w:rsidRDefault="00D65164">
            <w:pPr>
              <w:pStyle w:val="TableText"/>
            </w:pPr>
            <w:r>
              <w:rPr>
                <w:rStyle w:val="TabletextBold"/>
                <w:rFonts w:cs="FreightSans Pro Bold"/>
                <w:bCs/>
              </w:rPr>
              <w:t xml:space="preserve">  </w:t>
            </w:r>
            <w:r w:rsidR="00BC5284" w:rsidRPr="00BC5284">
              <w:rPr>
                <w:rStyle w:val="TabletextBold"/>
                <w:rFonts w:cs="FreightSans Pro Bold"/>
                <w:bCs/>
              </w:rPr>
              <w:t>Metro Middle</w:t>
            </w:r>
          </w:p>
        </w:tc>
        <w:tc>
          <w:tcPr>
            <w:tcW w:w="2395" w:type="dxa"/>
            <w:tcBorders>
              <w:top w:val="single" w:sz="2" w:space="0" w:color="000000"/>
              <w:left w:val="single" w:sz="6" w:space="0" w:color="000000"/>
              <w:bottom w:val="single" w:sz="6" w:space="0" w:color="000000"/>
              <w:right w:val="single" w:sz="6" w:space="0" w:color="000000"/>
            </w:tcBorders>
            <w:tcMar>
              <w:top w:w="170" w:type="dxa"/>
              <w:left w:w="80" w:type="dxa"/>
              <w:bottom w:w="170" w:type="dxa"/>
              <w:right w:w="80" w:type="dxa"/>
            </w:tcMar>
          </w:tcPr>
          <w:p w14:paraId="5C37A2D3" w14:textId="77777777" w:rsidR="00BC5284" w:rsidRPr="00BC5284" w:rsidRDefault="00BC5284">
            <w:pPr>
              <w:pStyle w:val="TableText"/>
            </w:pPr>
            <w:r w:rsidRPr="00BC5284">
              <w:t>Middle-ring metropolitan Melbourne cities</w:t>
            </w:r>
          </w:p>
        </w:tc>
        <w:tc>
          <w:tcPr>
            <w:tcW w:w="1290"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5D6E63B9" w14:textId="77777777" w:rsidR="00BC5284" w:rsidRPr="00BC5284" w:rsidRDefault="00BC5284">
            <w:pPr>
              <w:pStyle w:val="TableText"/>
              <w:jc w:val="center"/>
            </w:pPr>
            <w:r w:rsidRPr="00BC5284">
              <w:t>15</w:t>
            </w:r>
          </w:p>
        </w:tc>
      </w:tr>
      <w:tr w:rsidR="00BC5284" w:rsidRPr="00BC5284" w14:paraId="6ADD6206" w14:textId="77777777" w:rsidTr="00D65164">
        <w:trPr>
          <w:trHeight w:val="60"/>
        </w:trPr>
        <w:tc>
          <w:tcPr>
            <w:tcW w:w="1191"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80" w:type="dxa"/>
            </w:tcMar>
          </w:tcPr>
          <w:p w14:paraId="399F7AA8" w14:textId="77777777" w:rsidR="00BC5284" w:rsidRPr="00BC5284" w:rsidRDefault="00D65164">
            <w:pPr>
              <w:pStyle w:val="TableText"/>
            </w:pPr>
            <w:r>
              <w:rPr>
                <w:rStyle w:val="TabletextBold"/>
                <w:rFonts w:cs="FreightSans Pro Bold"/>
                <w:bCs/>
              </w:rPr>
              <w:t xml:space="preserve">  </w:t>
            </w:r>
            <w:r w:rsidR="00BC5284" w:rsidRPr="00BC5284">
              <w:rPr>
                <w:rStyle w:val="TabletextBold"/>
                <w:rFonts w:cs="FreightSans Pro Bold"/>
                <w:bCs/>
              </w:rPr>
              <w:t>Metro Outer</w:t>
            </w:r>
          </w:p>
        </w:tc>
        <w:tc>
          <w:tcPr>
            <w:tcW w:w="239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63156C6" w14:textId="77777777" w:rsidR="00BC5284" w:rsidRPr="00BC5284" w:rsidRDefault="00BC5284">
            <w:pPr>
              <w:pStyle w:val="TableText"/>
            </w:pPr>
            <w:r w:rsidRPr="00BC5284">
              <w:t>Outer-ring metropolitan Melbourne cities and shires at the urban-rural interface</w:t>
            </w:r>
          </w:p>
        </w:tc>
        <w:tc>
          <w:tcPr>
            <w:tcW w:w="1290"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DDAB84F" w14:textId="77777777" w:rsidR="00BC5284" w:rsidRPr="00BC5284" w:rsidRDefault="00BC5284">
            <w:pPr>
              <w:pStyle w:val="TableText"/>
              <w:jc w:val="center"/>
            </w:pPr>
            <w:r w:rsidRPr="00BC5284">
              <w:t>9</w:t>
            </w:r>
          </w:p>
        </w:tc>
      </w:tr>
      <w:tr w:rsidR="00BC5284" w:rsidRPr="00BC5284" w14:paraId="786FE1D8" w14:textId="77777777" w:rsidTr="00D65164">
        <w:trPr>
          <w:trHeight w:val="60"/>
        </w:trPr>
        <w:tc>
          <w:tcPr>
            <w:tcW w:w="1191"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80" w:type="dxa"/>
            </w:tcMar>
          </w:tcPr>
          <w:p w14:paraId="4A066A47" w14:textId="77777777" w:rsidR="00BC5284" w:rsidRPr="00BC5284" w:rsidRDefault="00D65164">
            <w:pPr>
              <w:pStyle w:val="TableText"/>
            </w:pPr>
            <w:r>
              <w:rPr>
                <w:rStyle w:val="TabletextBold"/>
                <w:rFonts w:cs="FreightSans Pro Bold"/>
                <w:bCs/>
              </w:rPr>
              <w:t xml:space="preserve">  </w:t>
            </w:r>
            <w:r w:rsidR="00BC5284" w:rsidRPr="00BC5284">
              <w:rPr>
                <w:rStyle w:val="TabletextBold"/>
                <w:rFonts w:cs="FreightSans Pro Bold"/>
                <w:bCs/>
              </w:rPr>
              <w:t>Rural City</w:t>
            </w:r>
          </w:p>
        </w:tc>
        <w:tc>
          <w:tcPr>
            <w:tcW w:w="2395"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328076C" w14:textId="77777777" w:rsidR="00BC5284" w:rsidRPr="00BC5284" w:rsidRDefault="00BC5284">
            <w:pPr>
              <w:pStyle w:val="TableText"/>
            </w:pPr>
            <w:r w:rsidRPr="00BC5284">
              <w:t>Non-metropolitan cities or rural cities</w:t>
            </w:r>
          </w:p>
        </w:tc>
        <w:tc>
          <w:tcPr>
            <w:tcW w:w="1290"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1B1AE12" w14:textId="77777777" w:rsidR="00BC5284" w:rsidRPr="00BC5284" w:rsidRDefault="00BC5284">
            <w:pPr>
              <w:pStyle w:val="TableText"/>
              <w:jc w:val="center"/>
            </w:pPr>
            <w:r w:rsidRPr="00BC5284">
              <w:t>13</w:t>
            </w:r>
          </w:p>
        </w:tc>
      </w:tr>
      <w:tr w:rsidR="00BC5284" w:rsidRPr="00BC5284" w14:paraId="6B24F3CE" w14:textId="77777777" w:rsidTr="00D65164">
        <w:trPr>
          <w:trHeight w:val="60"/>
        </w:trPr>
        <w:tc>
          <w:tcPr>
            <w:tcW w:w="1191" w:type="dxa"/>
            <w:tcBorders>
              <w:top w:val="single" w:sz="6" w:space="0" w:color="000000"/>
              <w:left w:val="single" w:sz="6" w:space="0" w:color="000000"/>
              <w:bottom w:val="single" w:sz="6" w:space="0" w:color="000000"/>
              <w:right w:val="single" w:sz="6" w:space="0" w:color="000000"/>
            </w:tcBorders>
            <w:tcMar>
              <w:top w:w="170" w:type="dxa"/>
              <w:left w:w="0" w:type="dxa"/>
              <w:bottom w:w="170" w:type="dxa"/>
              <w:right w:w="80" w:type="dxa"/>
            </w:tcMar>
          </w:tcPr>
          <w:p w14:paraId="77381E97" w14:textId="77777777" w:rsidR="00BC5284" w:rsidRPr="00BC5284" w:rsidRDefault="00D65164">
            <w:pPr>
              <w:pStyle w:val="TableText"/>
            </w:pPr>
            <w:r>
              <w:rPr>
                <w:rStyle w:val="TabletextBold"/>
                <w:rFonts w:cs="FreightSans Pro Bold"/>
                <w:bCs/>
              </w:rPr>
              <w:t xml:space="preserve">  </w:t>
            </w:r>
            <w:r w:rsidR="00BC5284" w:rsidRPr="00BC5284">
              <w:rPr>
                <w:rStyle w:val="TabletextBold"/>
                <w:rFonts w:cs="FreightSans Pro Bold"/>
                <w:bCs/>
              </w:rPr>
              <w:t>Rural Large</w:t>
            </w:r>
          </w:p>
        </w:tc>
        <w:tc>
          <w:tcPr>
            <w:tcW w:w="2395"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EFA8243" w14:textId="77777777" w:rsidR="00BC5284" w:rsidRPr="00BC5284" w:rsidRDefault="00BC5284">
            <w:pPr>
              <w:pStyle w:val="TableText"/>
            </w:pPr>
            <w:r w:rsidRPr="00BC5284">
              <w:t>Rural shires with a population greater than 15,000</w:t>
            </w:r>
            <w:r w:rsidRPr="00BC5284">
              <w:rPr>
                <w:vertAlign w:val="superscript"/>
              </w:rPr>
              <w:footnoteReference w:id="5"/>
            </w:r>
            <w:r w:rsidRPr="00BC5284">
              <w:t xml:space="preserve"> </w:t>
            </w:r>
          </w:p>
        </w:tc>
        <w:tc>
          <w:tcPr>
            <w:tcW w:w="1290"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BD81185" w14:textId="77777777" w:rsidR="00BC5284" w:rsidRPr="00BC5284" w:rsidRDefault="00BC5284">
            <w:pPr>
              <w:pStyle w:val="TableText"/>
              <w:jc w:val="center"/>
            </w:pPr>
            <w:r w:rsidRPr="00BC5284">
              <w:t>20</w:t>
            </w:r>
          </w:p>
        </w:tc>
      </w:tr>
      <w:tr w:rsidR="00BC5284" w:rsidRPr="00BC5284" w14:paraId="649B96B8" w14:textId="77777777" w:rsidTr="00D65164">
        <w:trPr>
          <w:trHeight w:val="60"/>
        </w:trPr>
        <w:tc>
          <w:tcPr>
            <w:tcW w:w="1191" w:type="dxa"/>
            <w:tcBorders>
              <w:top w:val="single" w:sz="6" w:space="0" w:color="000000"/>
              <w:left w:val="single" w:sz="6" w:space="0" w:color="000000"/>
              <w:bottom w:val="single" w:sz="6" w:space="0" w:color="auto"/>
              <w:right w:val="single" w:sz="6" w:space="0" w:color="000000"/>
            </w:tcBorders>
            <w:tcMar>
              <w:top w:w="170" w:type="dxa"/>
              <w:left w:w="0" w:type="dxa"/>
              <w:bottom w:w="170" w:type="dxa"/>
              <w:right w:w="80" w:type="dxa"/>
            </w:tcMar>
          </w:tcPr>
          <w:p w14:paraId="03AA1389" w14:textId="77777777" w:rsidR="00BC5284" w:rsidRPr="00BC5284" w:rsidRDefault="00D65164">
            <w:pPr>
              <w:pStyle w:val="TableText"/>
            </w:pPr>
            <w:r>
              <w:rPr>
                <w:rStyle w:val="TabletextBold"/>
                <w:rFonts w:cs="FreightSans Pro Bold"/>
                <w:bCs/>
              </w:rPr>
              <w:t xml:space="preserve">  </w:t>
            </w:r>
            <w:r w:rsidR="00BC5284" w:rsidRPr="00BC5284">
              <w:rPr>
                <w:rStyle w:val="TabletextBold"/>
                <w:rFonts w:cs="FreightSans Pro Bold"/>
                <w:bCs/>
              </w:rPr>
              <w:t>Rural Small</w:t>
            </w:r>
          </w:p>
        </w:tc>
        <w:tc>
          <w:tcPr>
            <w:tcW w:w="2395"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EBC1F40" w14:textId="77777777" w:rsidR="00BC5284" w:rsidRPr="00BC5284" w:rsidRDefault="00BC5284">
            <w:pPr>
              <w:pStyle w:val="TableText"/>
            </w:pPr>
            <w:r w:rsidRPr="00BC5284">
              <w:t>Rural shires with a population less than 15,000</w:t>
            </w:r>
            <w:r w:rsidRPr="00BC5284">
              <w:rPr>
                <w:vertAlign w:val="superscript"/>
              </w:rPr>
              <w:footnoteReference w:id="6"/>
            </w:r>
            <w:r w:rsidRPr="00BC5284">
              <w:t xml:space="preserve"> </w:t>
            </w:r>
          </w:p>
        </w:tc>
        <w:tc>
          <w:tcPr>
            <w:tcW w:w="1290"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9D467B5" w14:textId="77777777" w:rsidR="00BC5284" w:rsidRPr="00BC5284" w:rsidRDefault="00BC5284">
            <w:pPr>
              <w:pStyle w:val="TableText"/>
              <w:jc w:val="center"/>
            </w:pPr>
            <w:r w:rsidRPr="00BC5284">
              <w:t>16</w:t>
            </w:r>
          </w:p>
        </w:tc>
      </w:tr>
    </w:tbl>
    <w:p w14:paraId="3FF20D73" w14:textId="77777777" w:rsidR="00BC5284" w:rsidRDefault="00BC5284">
      <w:pPr>
        <w:pStyle w:val="HeadingSubtitle2"/>
        <w:rPr>
          <w:rFonts w:ascii="Minion Pro" w:hAnsi="Minion Pro" w:cs="Minion Pro"/>
          <w:b w:val="0"/>
          <w:bCs w:val="0"/>
          <w:color w:val="000000"/>
        </w:rPr>
      </w:pPr>
    </w:p>
    <w:p w14:paraId="43FAD13D" w14:textId="77777777" w:rsidR="00BC5284" w:rsidRDefault="00BC5284">
      <w:pPr>
        <w:pStyle w:val="Text"/>
      </w:pPr>
      <w:r>
        <w:t>The data is presented in two ways:</w:t>
      </w:r>
    </w:p>
    <w:p w14:paraId="0839F08C" w14:textId="77777777" w:rsidR="00BC5284" w:rsidRDefault="00BC5284">
      <w:pPr>
        <w:pStyle w:val="Text"/>
      </w:pPr>
      <w:r>
        <w:rPr>
          <w:rStyle w:val="TextBold"/>
          <w:rFonts w:cs="FreightText Pro Bold"/>
          <w:bCs/>
        </w:rPr>
        <w:t>01.</w:t>
      </w:r>
      <w:r w:rsidR="00912FC4">
        <w:tab/>
      </w:r>
      <w:r w:rsidR="00912FC4">
        <w:tab/>
      </w:r>
      <w:r>
        <w:t>A pair of stocktake tables containing a broad overview of results</w:t>
      </w:r>
    </w:p>
    <w:p w14:paraId="31CDE71A" w14:textId="77777777" w:rsidR="00BC5284" w:rsidRDefault="00BC5284" w:rsidP="00912FC4">
      <w:pPr>
        <w:pStyle w:val="Text"/>
        <w:ind w:left="560" w:hanging="560"/>
      </w:pPr>
      <w:r>
        <w:rPr>
          <w:rStyle w:val="TextBold"/>
          <w:rFonts w:cs="FreightText Pro Bold"/>
          <w:bCs/>
        </w:rPr>
        <w:t>02.</w:t>
      </w:r>
      <w:r>
        <w:tab/>
      </w:r>
      <w:r w:rsidR="00912FC4">
        <w:tab/>
      </w:r>
      <w:r>
        <w:t>A more detailed analysis is then provided under the four themes most commonly found in heritage strategies</w:t>
      </w:r>
      <w:r w:rsidR="008F0CFE">
        <w:rPr>
          <w:rStyle w:val="FootnoteReference"/>
          <w:rFonts w:cs="FreightText Pro Book"/>
        </w:rPr>
        <w:footnoteReference w:id="7"/>
      </w:r>
      <w:r>
        <w:t>: identifying, protecting, supporting and communicating local heritage.</w:t>
      </w:r>
    </w:p>
    <w:p w14:paraId="63F6019A" w14:textId="77777777" w:rsidR="00BC5284" w:rsidRDefault="00BC5284">
      <w:pPr>
        <w:pStyle w:val="Text"/>
      </w:pPr>
      <w:r>
        <w:t xml:space="preserve">There is also a high-level analysis of resourcing. </w:t>
      </w:r>
    </w:p>
    <w:p w14:paraId="6FA86B00" w14:textId="77777777" w:rsidR="00BC5284" w:rsidRDefault="00BC5284">
      <w:pPr>
        <w:pStyle w:val="Text"/>
      </w:pPr>
    </w:p>
    <w:p w14:paraId="2B1DDB15" w14:textId="77777777" w:rsidR="00BC5284" w:rsidRDefault="00BC5284">
      <w:pPr>
        <w:pStyle w:val="Text"/>
      </w:pPr>
    </w:p>
    <w:p w14:paraId="336A86AD" w14:textId="77777777" w:rsidR="00BC5284" w:rsidRDefault="00912FC4">
      <w:pPr>
        <w:pStyle w:val="FigureTitleandnumbernounderline"/>
      </w:pPr>
      <w:r>
        <w:br w:type="page"/>
      </w:r>
      <w:r w:rsidR="00BC5284">
        <w:lastRenderedPageBreak/>
        <w:t>Figure 3.1 Council groupings map</w:t>
      </w:r>
    </w:p>
    <w:p w14:paraId="18BD70B8" w14:textId="77777777" w:rsidR="00BC5284" w:rsidRDefault="00BC5284">
      <w:pPr>
        <w:pStyle w:val="Footnotes-TextSmallSansMedium8pt"/>
        <w:rPr>
          <w:rFonts w:ascii="FreightSans Pro Bold" w:hAnsi="FreightSans Pro Bold" w:cs="FreightSans Pro Bold"/>
          <w:b/>
          <w:bCs/>
        </w:rPr>
      </w:pPr>
      <w:r>
        <w:tab/>
      </w:r>
      <w:r>
        <w:rPr>
          <w:rFonts w:ascii="FreightSans Pro Bold" w:hAnsi="FreightSans Pro Bold" w:cs="FreightSans Pro Bold"/>
          <w:b/>
          <w:bCs/>
        </w:rPr>
        <w:t>Metro Inner</w:t>
      </w:r>
    </w:p>
    <w:p w14:paraId="3699FC77" w14:textId="77777777" w:rsidR="00BC5284" w:rsidRDefault="00BC5284">
      <w:pPr>
        <w:pStyle w:val="Footnotes-TextSmallSansMedium8pt"/>
      </w:pPr>
      <w:r>
        <w:t>1.</w:t>
      </w:r>
      <w:r>
        <w:tab/>
        <w:t>Bayside</w:t>
      </w:r>
      <w:r>
        <w:br/>
        <w:t>2.</w:t>
      </w:r>
      <w:r>
        <w:tab/>
        <w:t>Boroondara</w:t>
      </w:r>
      <w:r>
        <w:br/>
        <w:t>3.</w:t>
      </w:r>
      <w:r>
        <w:tab/>
        <w:t xml:space="preserve">Glen Eira </w:t>
      </w:r>
      <w:r>
        <w:br/>
        <w:t>4.</w:t>
      </w:r>
      <w:r>
        <w:tab/>
        <w:t>Melbourne</w:t>
      </w:r>
      <w:r>
        <w:br/>
        <w:t>5.</w:t>
      </w:r>
      <w:r>
        <w:tab/>
        <w:t xml:space="preserve">Port Phillip </w:t>
      </w:r>
      <w:r>
        <w:br/>
        <w:t>6.</w:t>
      </w:r>
      <w:r>
        <w:tab/>
        <w:t>Stonnington</w:t>
      </w:r>
      <w:r>
        <w:br/>
        <w:t>7.</w:t>
      </w:r>
      <w:r>
        <w:tab/>
        <w:t>Yarra</w:t>
      </w:r>
    </w:p>
    <w:p w14:paraId="4C772EDB" w14:textId="77777777" w:rsidR="00BC5284" w:rsidRDefault="00BC5284">
      <w:pPr>
        <w:pStyle w:val="Footnotes-TextSmallSansMedium8pt"/>
        <w:rPr>
          <w:rFonts w:ascii="FreightSans Pro Bold" w:hAnsi="FreightSans Pro Bold" w:cs="FreightSans Pro Bold"/>
          <w:b/>
          <w:bCs/>
        </w:rPr>
      </w:pPr>
      <w:r>
        <w:tab/>
      </w:r>
      <w:r>
        <w:rPr>
          <w:rFonts w:ascii="FreightSans Pro Bold" w:hAnsi="FreightSans Pro Bold" w:cs="FreightSans Pro Bold"/>
          <w:b/>
          <w:bCs/>
        </w:rPr>
        <w:t>Metro Middle</w:t>
      </w:r>
    </w:p>
    <w:p w14:paraId="134D684B" w14:textId="77777777" w:rsidR="00BC5284" w:rsidRDefault="00BC5284">
      <w:pPr>
        <w:pStyle w:val="Footnotes-TextSmallSansMedium8pt"/>
      </w:pPr>
      <w:r>
        <w:t>8.</w:t>
      </w:r>
      <w:r>
        <w:tab/>
        <w:t xml:space="preserve">Banyule </w:t>
      </w:r>
      <w:r>
        <w:br/>
        <w:t>9.</w:t>
      </w:r>
      <w:r>
        <w:tab/>
        <w:t>Brimbank</w:t>
      </w:r>
      <w:r>
        <w:br/>
        <w:t>10.</w:t>
      </w:r>
      <w:r>
        <w:tab/>
        <w:t xml:space="preserve">Darebin </w:t>
      </w:r>
      <w:r>
        <w:br/>
        <w:t>11.</w:t>
      </w:r>
      <w:r>
        <w:tab/>
        <w:t>Frankston</w:t>
      </w:r>
      <w:r>
        <w:br/>
        <w:t>12.</w:t>
      </w:r>
      <w:r>
        <w:tab/>
        <w:t>Greater Dandenong</w:t>
      </w:r>
      <w:r>
        <w:br/>
        <w:t>13.</w:t>
      </w:r>
      <w:r>
        <w:tab/>
        <w:t>Hobsons Bay</w:t>
      </w:r>
      <w:r>
        <w:br/>
        <w:t>14.</w:t>
      </w:r>
      <w:r>
        <w:tab/>
        <w:t>Kingston</w:t>
      </w:r>
      <w:r>
        <w:br/>
        <w:t>15.</w:t>
      </w:r>
      <w:r>
        <w:tab/>
        <w:t xml:space="preserve">Knox </w:t>
      </w:r>
      <w:r>
        <w:br/>
        <w:t>16.</w:t>
      </w:r>
      <w:r>
        <w:tab/>
        <w:t>Manningham</w:t>
      </w:r>
      <w:r>
        <w:br/>
        <w:t>17.</w:t>
      </w:r>
      <w:r>
        <w:tab/>
        <w:t xml:space="preserve">Maribyrnong </w:t>
      </w:r>
      <w:r>
        <w:br/>
        <w:t>18.</w:t>
      </w:r>
      <w:r>
        <w:tab/>
        <w:t>Maroondah</w:t>
      </w:r>
      <w:r>
        <w:br/>
        <w:t>19.</w:t>
      </w:r>
      <w:r>
        <w:tab/>
        <w:t xml:space="preserve">Monash </w:t>
      </w:r>
      <w:r>
        <w:br/>
        <w:t>20.</w:t>
      </w:r>
      <w:r>
        <w:tab/>
        <w:t xml:space="preserve">Moonee Valley </w:t>
      </w:r>
      <w:r>
        <w:br/>
        <w:t>21.</w:t>
      </w:r>
      <w:r>
        <w:tab/>
        <w:t xml:space="preserve">Moreland </w:t>
      </w:r>
      <w:r>
        <w:br/>
        <w:t>22.</w:t>
      </w:r>
      <w:r>
        <w:tab/>
        <w:t>Whitehorse</w:t>
      </w:r>
    </w:p>
    <w:p w14:paraId="1BA6CBD5" w14:textId="77777777" w:rsidR="00BC5284" w:rsidRDefault="00BC5284">
      <w:pPr>
        <w:pStyle w:val="Footnotes-TextSmallSansMedium8pt"/>
        <w:rPr>
          <w:rFonts w:ascii="FreightSans Pro Bold" w:hAnsi="FreightSans Pro Bold" w:cs="FreightSans Pro Bold"/>
          <w:b/>
          <w:bCs/>
        </w:rPr>
      </w:pPr>
      <w:r>
        <w:tab/>
      </w:r>
      <w:r>
        <w:rPr>
          <w:rFonts w:ascii="FreightSans Pro Bold" w:hAnsi="FreightSans Pro Bold" w:cs="FreightSans Pro Bold"/>
          <w:b/>
          <w:bCs/>
        </w:rPr>
        <w:t>Metro Outer</w:t>
      </w:r>
    </w:p>
    <w:p w14:paraId="68E661E6" w14:textId="77777777" w:rsidR="00BC5284" w:rsidRDefault="00BC5284">
      <w:pPr>
        <w:pStyle w:val="Footnotes-TextSmallSansMedium8pt"/>
      </w:pPr>
      <w:r>
        <w:t>23.</w:t>
      </w:r>
      <w:r>
        <w:tab/>
        <w:t>Cardinia</w:t>
      </w:r>
      <w:r>
        <w:br/>
        <w:t>24.</w:t>
      </w:r>
      <w:r>
        <w:tab/>
        <w:t>Casey</w:t>
      </w:r>
      <w:r>
        <w:br/>
        <w:t>25.</w:t>
      </w:r>
      <w:r>
        <w:tab/>
        <w:t xml:space="preserve">Hume </w:t>
      </w:r>
      <w:r>
        <w:br/>
        <w:t>26.</w:t>
      </w:r>
      <w:r>
        <w:tab/>
        <w:t>Melton</w:t>
      </w:r>
      <w:r>
        <w:br/>
        <w:t>27.</w:t>
      </w:r>
      <w:r>
        <w:tab/>
        <w:t xml:space="preserve">Mornington Peninsula </w:t>
      </w:r>
      <w:r>
        <w:br/>
        <w:t>28.</w:t>
      </w:r>
      <w:r>
        <w:tab/>
        <w:t>Nillumbik</w:t>
      </w:r>
      <w:r>
        <w:br/>
        <w:t>29.</w:t>
      </w:r>
      <w:r>
        <w:tab/>
        <w:t xml:space="preserve">Whittlesea </w:t>
      </w:r>
      <w:r>
        <w:br/>
        <w:t>30.</w:t>
      </w:r>
      <w:r>
        <w:tab/>
        <w:t xml:space="preserve">Wyndham </w:t>
      </w:r>
      <w:r>
        <w:br/>
        <w:t>31.</w:t>
      </w:r>
      <w:r>
        <w:tab/>
        <w:t>Yarra Ranges</w:t>
      </w:r>
    </w:p>
    <w:p w14:paraId="6946A53F" w14:textId="77777777" w:rsidR="00BC5284" w:rsidRDefault="00BC5284">
      <w:pPr>
        <w:pStyle w:val="Footnotes-TextSmallSansMedium8pt"/>
      </w:pPr>
    </w:p>
    <w:p w14:paraId="563E42EB" w14:textId="77777777" w:rsidR="00BC5284" w:rsidRDefault="00BC5284">
      <w:pPr>
        <w:pStyle w:val="Footnotes-TextSmallSansMedium8pt"/>
        <w:rPr>
          <w:rFonts w:ascii="FreightSans Pro Bold" w:hAnsi="FreightSans Pro Bold" w:cs="FreightSans Pro Bold"/>
          <w:b/>
          <w:bCs/>
        </w:rPr>
      </w:pPr>
      <w:r>
        <w:rPr>
          <w:rFonts w:ascii="FreightSans Pro Bold" w:hAnsi="FreightSans Pro Bold" w:cs="FreightSans Pro Bold"/>
          <w:b/>
          <w:bCs/>
        </w:rPr>
        <w:tab/>
        <w:t>Rural City</w:t>
      </w:r>
    </w:p>
    <w:p w14:paraId="2D9A13D4" w14:textId="77777777" w:rsidR="00BC5284" w:rsidRDefault="00BC5284">
      <w:pPr>
        <w:pStyle w:val="Footnotes-TextSmallSansMedium8pt"/>
      </w:pPr>
      <w:r>
        <w:t>32.</w:t>
      </w:r>
      <w:r>
        <w:tab/>
        <w:t xml:space="preserve">Ararat </w:t>
      </w:r>
      <w:r>
        <w:br/>
        <w:t>33.</w:t>
      </w:r>
      <w:r>
        <w:tab/>
        <w:t xml:space="preserve">Ballarat </w:t>
      </w:r>
      <w:r>
        <w:br/>
        <w:t>34.</w:t>
      </w:r>
      <w:r>
        <w:tab/>
        <w:t xml:space="preserve">Benalla </w:t>
      </w:r>
      <w:r>
        <w:br/>
        <w:t>35.</w:t>
      </w:r>
      <w:r>
        <w:tab/>
        <w:t xml:space="preserve">Greater Bendigo </w:t>
      </w:r>
      <w:r>
        <w:br/>
        <w:t>36.</w:t>
      </w:r>
      <w:r>
        <w:tab/>
        <w:t xml:space="preserve">Greater Geelong </w:t>
      </w:r>
      <w:r>
        <w:br/>
        <w:t>37.</w:t>
      </w:r>
      <w:r>
        <w:tab/>
        <w:t xml:space="preserve">Greater Shepparton </w:t>
      </w:r>
      <w:r>
        <w:br/>
        <w:t>38.</w:t>
      </w:r>
      <w:r>
        <w:tab/>
        <w:t xml:space="preserve">Horsham </w:t>
      </w:r>
      <w:r>
        <w:br/>
        <w:t>39.</w:t>
      </w:r>
      <w:r>
        <w:tab/>
        <w:t xml:space="preserve">Latrobe </w:t>
      </w:r>
      <w:r>
        <w:br/>
        <w:t>40.</w:t>
      </w:r>
      <w:r>
        <w:tab/>
        <w:t xml:space="preserve">Mildura </w:t>
      </w:r>
      <w:r>
        <w:br/>
        <w:t>41.</w:t>
      </w:r>
      <w:r>
        <w:tab/>
        <w:t xml:space="preserve">Swan Hill </w:t>
      </w:r>
      <w:r>
        <w:br/>
        <w:t>42.</w:t>
      </w:r>
      <w:r>
        <w:tab/>
        <w:t xml:space="preserve">Wangaratta </w:t>
      </w:r>
      <w:r>
        <w:br/>
        <w:t>43.</w:t>
      </w:r>
      <w:r>
        <w:tab/>
        <w:t xml:space="preserve">Warrnambool </w:t>
      </w:r>
      <w:r>
        <w:br/>
        <w:t>44.</w:t>
      </w:r>
      <w:r>
        <w:tab/>
        <w:t>Wodonga</w:t>
      </w:r>
    </w:p>
    <w:p w14:paraId="0AF7796C" w14:textId="77777777" w:rsidR="00BC5284" w:rsidRDefault="00BC5284">
      <w:pPr>
        <w:pStyle w:val="Footnotes-TextSmallSansMedium8pt"/>
      </w:pPr>
    </w:p>
    <w:p w14:paraId="52F9C9B3" w14:textId="77777777" w:rsidR="00BC5284" w:rsidRDefault="00BC5284">
      <w:pPr>
        <w:pStyle w:val="Footnotes-TextSmallSansMedium8pt"/>
        <w:rPr>
          <w:rFonts w:ascii="FreightSans Pro Bold" w:hAnsi="FreightSans Pro Bold" w:cs="FreightSans Pro Bold"/>
          <w:b/>
          <w:bCs/>
        </w:rPr>
      </w:pPr>
      <w:r>
        <w:tab/>
      </w:r>
      <w:r>
        <w:rPr>
          <w:rFonts w:ascii="FreightSans Pro Bold" w:hAnsi="FreightSans Pro Bold" w:cs="FreightSans Pro Bold"/>
          <w:b/>
          <w:bCs/>
        </w:rPr>
        <w:t>Rural Large</w:t>
      </w:r>
    </w:p>
    <w:p w14:paraId="53BBAAF9" w14:textId="77777777" w:rsidR="00BC5284" w:rsidRDefault="00BC5284">
      <w:pPr>
        <w:pStyle w:val="Footnotes-TextSmallSansMedium8pt"/>
      </w:pPr>
      <w:r>
        <w:t>45.</w:t>
      </w:r>
      <w:r>
        <w:tab/>
        <w:t xml:space="preserve">Bass Coast </w:t>
      </w:r>
      <w:r>
        <w:br/>
        <w:t>46.</w:t>
      </w:r>
      <w:r>
        <w:tab/>
        <w:t xml:space="preserve">Baw Baw </w:t>
      </w:r>
      <w:r>
        <w:br/>
        <w:t>47.</w:t>
      </w:r>
      <w:r>
        <w:tab/>
        <w:t xml:space="preserve">Campaspe </w:t>
      </w:r>
      <w:r>
        <w:br/>
        <w:t>48.</w:t>
      </w:r>
      <w:r>
        <w:tab/>
        <w:t xml:space="preserve">Colac Otway </w:t>
      </w:r>
      <w:r>
        <w:br/>
        <w:t>49.</w:t>
      </w:r>
      <w:r>
        <w:tab/>
        <w:t xml:space="preserve">Corangamite </w:t>
      </w:r>
      <w:r>
        <w:br/>
        <w:t>50.</w:t>
      </w:r>
      <w:r>
        <w:tab/>
        <w:t xml:space="preserve">East Gippsland </w:t>
      </w:r>
      <w:r>
        <w:br/>
        <w:t>51.</w:t>
      </w:r>
      <w:r>
        <w:tab/>
        <w:t xml:space="preserve">Glenelg </w:t>
      </w:r>
      <w:r>
        <w:br/>
        <w:t>52.</w:t>
      </w:r>
      <w:r>
        <w:tab/>
        <w:t>Golden Plains</w:t>
      </w:r>
      <w:r>
        <w:br/>
      </w:r>
      <w:r>
        <w:lastRenderedPageBreak/>
        <w:t>53.</w:t>
      </w:r>
      <w:r>
        <w:tab/>
        <w:t>Hepburn</w:t>
      </w:r>
      <w:r>
        <w:br/>
        <w:t>54.</w:t>
      </w:r>
      <w:r>
        <w:tab/>
        <w:t xml:space="preserve">Indigo </w:t>
      </w:r>
      <w:r>
        <w:br/>
        <w:t>55.</w:t>
      </w:r>
      <w:r>
        <w:tab/>
        <w:t xml:space="preserve">Macedon Ranges </w:t>
      </w:r>
      <w:r>
        <w:br/>
        <w:t>56.</w:t>
      </w:r>
      <w:r>
        <w:tab/>
        <w:t xml:space="preserve">Mitchell </w:t>
      </w:r>
      <w:r>
        <w:br/>
        <w:t>57.</w:t>
      </w:r>
      <w:r>
        <w:tab/>
        <w:t xml:space="preserve">Moira </w:t>
      </w:r>
      <w:r>
        <w:br/>
        <w:t>58.</w:t>
      </w:r>
      <w:r>
        <w:tab/>
        <w:t xml:space="preserve">Moorabool </w:t>
      </w:r>
      <w:r>
        <w:br/>
        <w:t>59.</w:t>
      </w:r>
      <w:r>
        <w:tab/>
        <w:t xml:space="preserve">Mount Alexander </w:t>
      </w:r>
      <w:r>
        <w:br/>
        <w:t>60.</w:t>
      </w:r>
      <w:r>
        <w:tab/>
        <w:t xml:space="preserve">Moyne </w:t>
      </w:r>
      <w:r>
        <w:br/>
        <w:t>61.</w:t>
      </w:r>
      <w:r>
        <w:tab/>
        <w:t xml:space="preserve">South Gippsland </w:t>
      </w:r>
      <w:r>
        <w:br/>
        <w:t>62.</w:t>
      </w:r>
      <w:r>
        <w:tab/>
        <w:t xml:space="preserve">Southern Grampians </w:t>
      </w:r>
      <w:r>
        <w:br/>
        <w:t>63.</w:t>
      </w:r>
      <w:r>
        <w:tab/>
        <w:t xml:space="preserve">Surf Coast </w:t>
      </w:r>
      <w:r>
        <w:br/>
        <w:t>64.</w:t>
      </w:r>
      <w:r>
        <w:tab/>
        <w:t>Wellington</w:t>
      </w:r>
    </w:p>
    <w:p w14:paraId="619AEF37" w14:textId="77777777" w:rsidR="00BC5284" w:rsidRDefault="00BC5284">
      <w:pPr>
        <w:pStyle w:val="Footnotes-TextSmallSansMedium8pt"/>
      </w:pPr>
    </w:p>
    <w:p w14:paraId="0FD80C3E" w14:textId="77777777" w:rsidR="00BC5284" w:rsidRDefault="00BC5284">
      <w:pPr>
        <w:pStyle w:val="Footnotes-TextSmallSansMedium8pt"/>
        <w:rPr>
          <w:rFonts w:ascii="FreightSans Pro Bold" w:hAnsi="FreightSans Pro Bold" w:cs="FreightSans Pro Bold"/>
          <w:b/>
          <w:bCs/>
        </w:rPr>
      </w:pPr>
      <w:r>
        <w:rPr>
          <w:rFonts w:ascii="FreightSans Pro Bold" w:hAnsi="FreightSans Pro Bold" w:cs="FreightSans Pro Bold"/>
          <w:b/>
          <w:bCs/>
        </w:rPr>
        <w:tab/>
        <w:t>Rural Small</w:t>
      </w:r>
    </w:p>
    <w:p w14:paraId="6E5A5247" w14:textId="77777777" w:rsidR="00BC5284" w:rsidRDefault="00BC5284">
      <w:pPr>
        <w:pStyle w:val="Footnotes-TextSmallSansMedium8pt"/>
      </w:pPr>
      <w:r>
        <w:t>65.</w:t>
      </w:r>
      <w:r>
        <w:tab/>
        <w:t xml:space="preserve">Alpine </w:t>
      </w:r>
      <w:r>
        <w:br/>
        <w:t>66.</w:t>
      </w:r>
      <w:r>
        <w:tab/>
        <w:t xml:space="preserve">Buloke </w:t>
      </w:r>
      <w:r>
        <w:br/>
        <w:t>67.</w:t>
      </w:r>
      <w:r>
        <w:tab/>
        <w:t xml:space="preserve">Central Goldfields </w:t>
      </w:r>
      <w:r>
        <w:br/>
        <w:t>68.</w:t>
      </w:r>
      <w:r>
        <w:tab/>
        <w:t xml:space="preserve">Gannawarra </w:t>
      </w:r>
      <w:r>
        <w:br/>
        <w:t>69.</w:t>
      </w:r>
      <w:r>
        <w:tab/>
        <w:t xml:space="preserve">Hindmarsh </w:t>
      </w:r>
      <w:r>
        <w:br/>
        <w:t>70.</w:t>
      </w:r>
      <w:r>
        <w:tab/>
        <w:t xml:space="preserve">Loddon </w:t>
      </w:r>
      <w:r>
        <w:br/>
        <w:t>71.</w:t>
      </w:r>
      <w:r>
        <w:tab/>
        <w:t xml:space="preserve">Mansfield </w:t>
      </w:r>
      <w:r>
        <w:br/>
        <w:t>72.</w:t>
      </w:r>
      <w:r>
        <w:tab/>
        <w:t>Mt Buller &amp; Mt Stirling</w:t>
      </w:r>
      <w:r>
        <w:br/>
        <w:t>73.</w:t>
      </w:r>
      <w:r>
        <w:tab/>
        <w:t xml:space="preserve">Murrindindi </w:t>
      </w:r>
      <w:r>
        <w:br/>
        <w:t>74.</w:t>
      </w:r>
      <w:r>
        <w:tab/>
        <w:t xml:space="preserve">Northern Grampians </w:t>
      </w:r>
      <w:r>
        <w:br/>
        <w:t>75.</w:t>
      </w:r>
      <w:r>
        <w:tab/>
        <w:t xml:space="preserve">Pyrenees </w:t>
      </w:r>
      <w:r>
        <w:br/>
        <w:t>76.</w:t>
      </w:r>
      <w:r>
        <w:tab/>
        <w:t xml:space="preserve">Queenscliffe </w:t>
      </w:r>
      <w:r>
        <w:br/>
        <w:t>77.</w:t>
      </w:r>
      <w:r>
        <w:tab/>
        <w:t xml:space="preserve">Strathbogie </w:t>
      </w:r>
      <w:r>
        <w:br/>
        <w:t>78.</w:t>
      </w:r>
      <w:r>
        <w:tab/>
        <w:t xml:space="preserve">Towong </w:t>
      </w:r>
      <w:r>
        <w:br/>
        <w:t>79.</w:t>
      </w:r>
      <w:r>
        <w:tab/>
        <w:t xml:space="preserve">West Wimmera </w:t>
      </w:r>
      <w:r>
        <w:br/>
        <w:t>80.</w:t>
      </w:r>
      <w:r>
        <w:tab/>
        <w:t>Yarriambiack</w:t>
      </w:r>
    </w:p>
    <w:p w14:paraId="1A1370FF" w14:textId="77777777" w:rsidR="00BC5284" w:rsidRDefault="00BC5284">
      <w:pPr>
        <w:pStyle w:val="Footnotes-TextSmallSansMedium8pt"/>
      </w:pPr>
    </w:p>
    <w:p w14:paraId="76E29C35" w14:textId="77777777" w:rsidR="00BC5284" w:rsidRDefault="00BC5284">
      <w:pPr>
        <w:pStyle w:val="Footnotes-TextSmallSansMedium8pt"/>
      </w:pPr>
    </w:p>
    <w:tbl>
      <w:tblPr>
        <w:tblW w:w="0" w:type="auto"/>
        <w:tblInd w:w="8" w:type="dxa"/>
        <w:tblLayout w:type="fixed"/>
        <w:tblCellMar>
          <w:left w:w="0" w:type="dxa"/>
          <w:right w:w="0" w:type="dxa"/>
        </w:tblCellMar>
        <w:tblLook w:val="0000" w:firstRow="0" w:lastRow="0" w:firstColumn="0" w:lastColumn="0" w:noHBand="0" w:noVBand="0"/>
      </w:tblPr>
      <w:tblGrid>
        <w:gridCol w:w="2501"/>
        <w:gridCol w:w="2111"/>
        <w:gridCol w:w="658"/>
        <w:gridCol w:w="967"/>
        <w:gridCol w:w="851"/>
        <w:gridCol w:w="709"/>
        <w:gridCol w:w="708"/>
        <w:gridCol w:w="709"/>
        <w:gridCol w:w="709"/>
        <w:gridCol w:w="709"/>
      </w:tblGrid>
      <w:tr w:rsidR="00BC5284" w:rsidRPr="00BC5284" w14:paraId="6F466BA8" w14:textId="77777777" w:rsidTr="00125A6D">
        <w:trPr>
          <w:trHeight w:val="60"/>
        </w:trPr>
        <w:tc>
          <w:tcPr>
            <w:tcW w:w="9923" w:type="dxa"/>
            <w:gridSpan w:val="9"/>
            <w:tcBorders>
              <w:top w:val="single" w:sz="6" w:space="0" w:color="000000"/>
              <w:left w:val="single" w:sz="6" w:space="0" w:color="000000"/>
              <w:bottom w:val="single" w:sz="6" w:space="0" w:color="000000"/>
              <w:right w:val="single" w:sz="8" w:space="0" w:color="000000"/>
            </w:tcBorders>
            <w:tcMar>
              <w:top w:w="80" w:type="dxa"/>
              <w:left w:w="0" w:type="dxa"/>
              <w:bottom w:w="113" w:type="dxa"/>
              <w:right w:w="80" w:type="dxa"/>
            </w:tcMar>
          </w:tcPr>
          <w:p w14:paraId="6E8F9895" w14:textId="77777777" w:rsidR="00BC5284" w:rsidRPr="00BC5284" w:rsidRDefault="00BC5284">
            <w:pPr>
              <w:pStyle w:val="TableTitleandnumber"/>
            </w:pPr>
            <w:r w:rsidRPr="00BC5284">
              <w:t>Table 3.2 Stocktake table – Heritage Overlay figures</w:t>
            </w:r>
          </w:p>
        </w:tc>
        <w:tc>
          <w:tcPr>
            <w:tcW w:w="709" w:type="dxa"/>
            <w:tcBorders>
              <w:top w:val="single" w:sz="6" w:space="0" w:color="000000"/>
              <w:left w:val="single" w:sz="6" w:space="0" w:color="000000"/>
              <w:bottom w:val="single" w:sz="6" w:space="0" w:color="000000"/>
              <w:right w:val="single" w:sz="6" w:space="0" w:color="000000"/>
            </w:tcBorders>
            <w:tcMar>
              <w:top w:w="80" w:type="dxa"/>
              <w:left w:w="0" w:type="dxa"/>
              <w:bottom w:w="113" w:type="dxa"/>
              <w:right w:w="80" w:type="dxa"/>
            </w:tcMar>
          </w:tcPr>
          <w:p w14:paraId="15DD8BBC" w14:textId="77777777" w:rsidR="00BC5284" w:rsidRPr="00BC5284" w:rsidRDefault="00BC5284">
            <w:pPr>
              <w:pStyle w:val="NoParagraphStyle"/>
              <w:spacing w:line="240" w:lineRule="auto"/>
              <w:textAlignment w:val="auto"/>
              <w:rPr>
                <w:rFonts w:cs="Times New Roman"/>
                <w:color w:val="auto"/>
              </w:rPr>
            </w:pPr>
          </w:p>
        </w:tc>
      </w:tr>
      <w:tr w:rsidR="00125A6D" w:rsidRPr="00BC5284" w14:paraId="79AD497C" w14:textId="77777777" w:rsidTr="00125A6D">
        <w:trPr>
          <w:trHeight w:val="2795"/>
        </w:trPr>
        <w:tc>
          <w:tcPr>
            <w:tcW w:w="2501"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cPr>
          <w:p w14:paraId="7B9D0D5B" w14:textId="77777777" w:rsidR="00BC5284" w:rsidRPr="00125A6D" w:rsidRDefault="00BC5284">
            <w:pPr>
              <w:pStyle w:val="TableText"/>
            </w:pPr>
            <w:r w:rsidRPr="00125A6D">
              <w:rPr>
                <w:rStyle w:val="TabletextBold"/>
                <w:rFonts w:cs="FreightSans Pro Bold"/>
                <w:bCs/>
              </w:rPr>
              <w:t>Council (Type)</w:t>
            </w:r>
          </w:p>
        </w:tc>
        <w:tc>
          <w:tcPr>
            <w:tcW w:w="2111"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cPr>
          <w:p w14:paraId="531649AE" w14:textId="77777777" w:rsidR="00BC5284" w:rsidRPr="00125A6D" w:rsidRDefault="00BC5284">
            <w:pPr>
              <w:pStyle w:val="TableText"/>
            </w:pPr>
            <w:r w:rsidRPr="00125A6D">
              <w:rPr>
                <w:rStyle w:val="TabletextBold"/>
                <w:rFonts w:cs="FreightSans Pro Bold"/>
                <w:bCs/>
              </w:rPr>
              <w:t>Council grouping</w:t>
            </w:r>
          </w:p>
        </w:tc>
        <w:tc>
          <w:tcPr>
            <w:tcW w:w="658"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1915682A" w14:textId="77777777" w:rsidR="00BC5284" w:rsidRPr="00125A6D" w:rsidRDefault="00BC5284">
            <w:pPr>
              <w:pStyle w:val="TableText"/>
            </w:pPr>
            <w:r w:rsidRPr="00125A6D">
              <w:rPr>
                <w:rStyle w:val="TabletextBold"/>
                <w:rFonts w:cs="FreightSans Pro Bold"/>
                <w:bCs/>
              </w:rPr>
              <w:t>Council area (km^2)</w:t>
            </w:r>
          </w:p>
        </w:tc>
        <w:tc>
          <w:tcPr>
            <w:tcW w:w="967"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6549BF77" w14:textId="77777777" w:rsidR="00BC5284" w:rsidRPr="00125A6D" w:rsidRDefault="00BC5284">
            <w:pPr>
              <w:pStyle w:val="TableText"/>
            </w:pPr>
            <w:r w:rsidRPr="00125A6D">
              <w:rPr>
                <w:rStyle w:val="TabletextBold"/>
                <w:rFonts w:cs="FreightSans Pro Bold"/>
                <w:bCs/>
              </w:rPr>
              <w:t>Council population (2018)</w:t>
            </w:r>
          </w:p>
        </w:tc>
        <w:tc>
          <w:tcPr>
            <w:tcW w:w="851"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9431883" w14:textId="77777777" w:rsidR="00BC5284" w:rsidRPr="00125A6D" w:rsidRDefault="00BC5284">
            <w:pPr>
              <w:pStyle w:val="TableText"/>
            </w:pPr>
            <w:r w:rsidRPr="00125A6D">
              <w:rPr>
                <w:rStyle w:val="TabletextBold"/>
                <w:rFonts w:cs="FreightSans Pro Bold"/>
                <w:bCs/>
              </w:rPr>
              <w:t>Number of individual heritage places of state significance* (5/4/19)</w:t>
            </w:r>
          </w:p>
        </w:tc>
        <w:tc>
          <w:tcPr>
            <w:tcW w:w="709"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7E104316" w14:textId="77777777" w:rsidR="00BC5284" w:rsidRPr="00125A6D" w:rsidRDefault="00BC5284">
            <w:pPr>
              <w:pStyle w:val="TableText"/>
            </w:pPr>
            <w:r w:rsidRPr="00125A6D">
              <w:rPr>
                <w:rStyle w:val="TabletextBold"/>
                <w:rFonts w:cs="FreightSans Pro Bold"/>
                <w:bCs/>
              </w:rPr>
              <w:t>Number of individual heritage places of local significance (5/4/19)</w:t>
            </w:r>
          </w:p>
        </w:tc>
        <w:tc>
          <w:tcPr>
            <w:tcW w:w="708"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0EA999A" w14:textId="77777777" w:rsidR="00BC5284" w:rsidRPr="00125A6D" w:rsidRDefault="00BC5284">
            <w:pPr>
              <w:pStyle w:val="TableText"/>
            </w:pPr>
            <w:r w:rsidRPr="00125A6D">
              <w:rPr>
                <w:rStyle w:val="TabletextBold"/>
                <w:rFonts w:cs="FreightSans Pro Bold"/>
                <w:bCs/>
              </w:rPr>
              <w:t xml:space="preserve">Total number of individual places </w:t>
            </w:r>
            <w:r w:rsidRPr="00125A6D">
              <w:rPr>
                <w:rStyle w:val="TabletextBold"/>
                <w:rFonts w:cs="FreightSans Pro Bold"/>
                <w:bCs/>
              </w:rPr>
              <w:br/>
              <w:t>(5/4/19)</w:t>
            </w:r>
          </w:p>
        </w:tc>
        <w:tc>
          <w:tcPr>
            <w:tcW w:w="709"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3139777" w14:textId="77777777" w:rsidR="00BC5284" w:rsidRPr="00125A6D" w:rsidRDefault="00BC5284">
            <w:pPr>
              <w:pStyle w:val="TableText"/>
            </w:pPr>
            <w:r w:rsidRPr="00125A6D">
              <w:rPr>
                <w:rStyle w:val="TabletextBold"/>
                <w:rFonts w:cs="FreightSans Pro Bold"/>
                <w:bCs/>
              </w:rPr>
              <w:t>Total number of precinct places (5/4/19)</w:t>
            </w:r>
          </w:p>
        </w:tc>
        <w:tc>
          <w:tcPr>
            <w:tcW w:w="709"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31A68700" w14:textId="77777777" w:rsidR="00BC5284" w:rsidRPr="00125A6D" w:rsidRDefault="00BC5284">
            <w:pPr>
              <w:pStyle w:val="TableText"/>
            </w:pPr>
            <w:r w:rsidRPr="00125A6D">
              <w:rPr>
                <w:rStyle w:val="TabletextBold"/>
                <w:rFonts w:cs="FreightSans Pro Bold"/>
                <w:bCs/>
              </w:rPr>
              <w:t>Total number of heritage places (5/4/19)</w:t>
            </w:r>
          </w:p>
        </w:tc>
        <w:tc>
          <w:tcPr>
            <w:tcW w:w="709"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C95CB83" w14:textId="77777777" w:rsidR="00BC5284" w:rsidRPr="00125A6D" w:rsidRDefault="00BC5284">
            <w:pPr>
              <w:pStyle w:val="TableText"/>
            </w:pPr>
            <w:r w:rsidRPr="00125A6D">
              <w:rPr>
                <w:rStyle w:val="TabletextBold"/>
                <w:rFonts w:cs="FreightSans Pro Bold"/>
                <w:bCs/>
              </w:rPr>
              <w:t>Total number of heritage properties (7/11/19)</w:t>
            </w:r>
          </w:p>
        </w:tc>
      </w:tr>
      <w:tr w:rsidR="00BC5284" w:rsidRPr="00BC5284" w14:paraId="1DE384D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7E925A4" w14:textId="77777777" w:rsidR="00BC5284" w:rsidRPr="00BC5284" w:rsidRDefault="00BC5284">
            <w:pPr>
              <w:pStyle w:val="TableTextStocktake"/>
            </w:pPr>
            <w:r w:rsidRPr="00BC5284">
              <w:t>Bayside (C)</w:t>
            </w:r>
          </w:p>
        </w:tc>
        <w:tc>
          <w:tcPr>
            <w:tcW w:w="211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655C758"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3CD285F" w14:textId="77777777" w:rsidR="00BC5284" w:rsidRPr="00BC5284" w:rsidRDefault="00BC5284">
            <w:pPr>
              <w:pStyle w:val="TableTextStocktake"/>
              <w:jc w:val="right"/>
            </w:pPr>
            <w:r w:rsidRPr="00BC5284">
              <w:t>37</w:t>
            </w:r>
          </w:p>
        </w:tc>
        <w:tc>
          <w:tcPr>
            <w:tcW w:w="967"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092C790" w14:textId="77777777" w:rsidR="00BC5284" w:rsidRPr="00BC5284" w:rsidRDefault="00BC5284">
            <w:pPr>
              <w:pStyle w:val="TableTextStocktake"/>
              <w:jc w:val="right"/>
            </w:pPr>
            <w:r w:rsidRPr="00BC5284">
              <w:t>105,718</w:t>
            </w:r>
          </w:p>
        </w:tc>
        <w:tc>
          <w:tcPr>
            <w:tcW w:w="85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9FEAD50" w14:textId="77777777" w:rsidR="00BC5284" w:rsidRPr="00BC5284" w:rsidRDefault="00BC5284">
            <w:pPr>
              <w:pStyle w:val="TableTextStocktake"/>
              <w:jc w:val="right"/>
            </w:pPr>
            <w:r w:rsidRPr="00BC5284">
              <w:t>20</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A4BB345" w14:textId="77777777" w:rsidR="00BC5284" w:rsidRPr="00BC5284" w:rsidRDefault="00BC5284">
            <w:pPr>
              <w:pStyle w:val="TableTextStocktake"/>
              <w:jc w:val="right"/>
            </w:pPr>
            <w:r w:rsidRPr="00BC5284">
              <w:t>571</w:t>
            </w:r>
          </w:p>
        </w:tc>
        <w:tc>
          <w:tcPr>
            <w:tcW w:w="708"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5295CC5" w14:textId="77777777" w:rsidR="00BC5284" w:rsidRPr="00BC5284" w:rsidRDefault="00BC5284">
            <w:pPr>
              <w:pStyle w:val="TableTextStocktake"/>
              <w:jc w:val="right"/>
            </w:pPr>
            <w:r w:rsidRPr="00BC5284">
              <w:t>591</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ED8D166" w14:textId="77777777" w:rsidR="00BC5284" w:rsidRPr="00BC5284" w:rsidRDefault="00BC5284">
            <w:pPr>
              <w:pStyle w:val="TableTextStocktake"/>
              <w:jc w:val="right"/>
            </w:pPr>
            <w:r w:rsidRPr="00BC5284">
              <w:t>28</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EE61C1B" w14:textId="77777777" w:rsidR="00BC5284" w:rsidRPr="00BC5284" w:rsidRDefault="00BC5284">
            <w:pPr>
              <w:pStyle w:val="TableTextStocktake"/>
              <w:jc w:val="right"/>
            </w:pPr>
            <w:r w:rsidRPr="00BC5284">
              <w:t>619</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CD120C9" w14:textId="77777777" w:rsidR="00BC5284" w:rsidRPr="00BC5284" w:rsidRDefault="00BC5284">
            <w:pPr>
              <w:pStyle w:val="TableTextStocktake"/>
              <w:jc w:val="right"/>
            </w:pPr>
            <w:r w:rsidRPr="00BC5284">
              <w:t>2,181</w:t>
            </w:r>
          </w:p>
        </w:tc>
      </w:tr>
      <w:tr w:rsidR="00BC5284" w:rsidRPr="00BC5284" w14:paraId="1F4D9E2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6C8420" w14:textId="77777777" w:rsidR="00BC5284" w:rsidRPr="00BC5284" w:rsidRDefault="00BC5284">
            <w:pPr>
              <w:pStyle w:val="TableTextStocktake"/>
            </w:pPr>
            <w:r w:rsidRPr="00BC5284">
              <w:t>Boroondara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158CCE"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C771C3" w14:textId="77777777" w:rsidR="00BC5284" w:rsidRPr="00BC5284" w:rsidRDefault="00BC5284">
            <w:pPr>
              <w:pStyle w:val="TableTextStocktake"/>
              <w:jc w:val="right"/>
            </w:pPr>
            <w:r w:rsidRPr="00BC5284">
              <w:t>60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63FEC9" w14:textId="77777777" w:rsidR="00BC5284" w:rsidRPr="00BC5284" w:rsidRDefault="00BC5284">
            <w:pPr>
              <w:pStyle w:val="TableTextStocktake"/>
              <w:jc w:val="right"/>
            </w:pPr>
            <w:r w:rsidRPr="00BC5284">
              <w:t>181,289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3240A8" w14:textId="77777777" w:rsidR="00BC5284" w:rsidRPr="00BC5284" w:rsidRDefault="00BC5284">
            <w:pPr>
              <w:pStyle w:val="TableTextStocktake"/>
              <w:jc w:val="right"/>
            </w:pPr>
            <w:r w:rsidRPr="00BC5284">
              <w:t>66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E74C7D" w14:textId="77777777" w:rsidR="00BC5284" w:rsidRPr="00BC5284" w:rsidRDefault="00BC5284">
            <w:pPr>
              <w:pStyle w:val="TableTextStocktake"/>
              <w:jc w:val="right"/>
            </w:pPr>
            <w:r w:rsidRPr="00BC5284">
              <w:t>455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6E4122" w14:textId="77777777" w:rsidR="00BC5284" w:rsidRPr="00BC5284" w:rsidRDefault="00BC5284">
            <w:pPr>
              <w:pStyle w:val="TableTextStocktake"/>
              <w:jc w:val="right"/>
            </w:pPr>
            <w:r w:rsidRPr="00BC5284">
              <w:t>521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C59A82" w14:textId="77777777" w:rsidR="00BC5284" w:rsidRPr="00BC5284" w:rsidRDefault="00BC5284">
            <w:pPr>
              <w:pStyle w:val="TableTextStocktake"/>
              <w:jc w:val="right"/>
            </w:pPr>
            <w:r w:rsidRPr="00BC5284">
              <w:t>73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C528F3" w14:textId="77777777" w:rsidR="00BC5284" w:rsidRPr="00BC5284" w:rsidRDefault="00BC5284">
            <w:pPr>
              <w:pStyle w:val="TableTextStocktake"/>
              <w:jc w:val="right"/>
            </w:pPr>
            <w:r w:rsidRPr="00BC5284">
              <w:t>594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C09CD6" w14:textId="77777777" w:rsidR="00BC5284" w:rsidRPr="00BC5284" w:rsidRDefault="00BC5284">
            <w:pPr>
              <w:pStyle w:val="TableTextStocktake"/>
              <w:jc w:val="right"/>
            </w:pPr>
            <w:r w:rsidRPr="00BC5284">
              <w:t>14,805</w:t>
            </w:r>
          </w:p>
        </w:tc>
      </w:tr>
      <w:tr w:rsidR="00BC5284" w:rsidRPr="00BC5284" w14:paraId="39BDF686"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B9F56B" w14:textId="77777777" w:rsidR="00BC5284" w:rsidRPr="00BC5284" w:rsidRDefault="00BC5284">
            <w:pPr>
              <w:pStyle w:val="TableTextStocktake"/>
            </w:pPr>
            <w:r w:rsidRPr="00BC5284">
              <w:t>Glen Eira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08F83E"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282B6E" w14:textId="77777777" w:rsidR="00BC5284" w:rsidRPr="00BC5284" w:rsidRDefault="00BC5284">
            <w:pPr>
              <w:pStyle w:val="TableTextStocktake"/>
              <w:jc w:val="right"/>
            </w:pPr>
            <w:r w:rsidRPr="00BC5284">
              <w:t>39</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16EAAF" w14:textId="77777777" w:rsidR="00BC5284" w:rsidRPr="00BC5284" w:rsidRDefault="00BC5284">
            <w:pPr>
              <w:pStyle w:val="TableTextStocktake"/>
              <w:jc w:val="right"/>
            </w:pPr>
            <w:r w:rsidRPr="00BC5284">
              <w:t>153,858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361F9C" w14:textId="77777777" w:rsidR="00BC5284" w:rsidRPr="00BC5284" w:rsidRDefault="00BC5284">
            <w:pPr>
              <w:pStyle w:val="TableTextStocktake"/>
              <w:jc w:val="right"/>
            </w:pPr>
            <w:r w:rsidRPr="00BC5284">
              <w:t>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674398" w14:textId="77777777" w:rsidR="00BC5284" w:rsidRPr="00BC5284" w:rsidRDefault="00BC5284">
            <w:pPr>
              <w:pStyle w:val="TableTextStocktake"/>
              <w:jc w:val="right"/>
            </w:pPr>
            <w:r w:rsidRPr="00BC5284">
              <w:t>109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98E03B" w14:textId="77777777" w:rsidR="00BC5284" w:rsidRPr="00BC5284" w:rsidRDefault="00BC5284">
            <w:pPr>
              <w:pStyle w:val="TableTextStocktake"/>
              <w:jc w:val="right"/>
            </w:pPr>
            <w:r w:rsidRPr="00BC5284">
              <w:t>130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DF1DBF" w14:textId="77777777" w:rsidR="00BC5284" w:rsidRPr="00BC5284" w:rsidRDefault="00BC5284">
            <w:pPr>
              <w:pStyle w:val="TableTextStocktake"/>
              <w:jc w:val="right"/>
            </w:pPr>
            <w:r w:rsidRPr="00BC5284">
              <w:t>17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851688" w14:textId="77777777" w:rsidR="00BC5284" w:rsidRPr="00BC5284" w:rsidRDefault="00BC5284">
            <w:pPr>
              <w:pStyle w:val="TableTextStocktake"/>
              <w:jc w:val="right"/>
            </w:pPr>
            <w:r w:rsidRPr="00BC5284">
              <w:t>147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BE39D8" w14:textId="77777777" w:rsidR="00BC5284" w:rsidRPr="00BC5284" w:rsidRDefault="00BC5284">
            <w:pPr>
              <w:pStyle w:val="TableTextStocktake"/>
              <w:jc w:val="right"/>
            </w:pPr>
            <w:r w:rsidRPr="00BC5284">
              <w:t>3,275</w:t>
            </w:r>
          </w:p>
        </w:tc>
      </w:tr>
      <w:tr w:rsidR="00BC5284" w:rsidRPr="00BC5284" w14:paraId="0015B34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A75177" w14:textId="77777777" w:rsidR="00BC5284" w:rsidRPr="00BC5284" w:rsidRDefault="00BC5284">
            <w:pPr>
              <w:pStyle w:val="TableTextStocktake"/>
            </w:pPr>
            <w:r w:rsidRPr="00BC5284">
              <w:t>Melbourne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ED1373"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101F16" w14:textId="77777777" w:rsidR="00BC5284" w:rsidRPr="00BC5284" w:rsidRDefault="00BC5284">
            <w:pPr>
              <w:pStyle w:val="TableTextStocktake"/>
              <w:jc w:val="right"/>
            </w:pPr>
            <w:r w:rsidRPr="00BC5284">
              <w:t>37</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854FA8" w14:textId="77777777" w:rsidR="00BC5284" w:rsidRPr="00BC5284" w:rsidRDefault="00BC5284">
            <w:pPr>
              <w:pStyle w:val="TableTextStocktake"/>
              <w:jc w:val="right"/>
            </w:pPr>
            <w:r w:rsidRPr="00BC5284">
              <w:t>169,961</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4DB080" w14:textId="77777777" w:rsidR="00BC5284" w:rsidRPr="00BC5284" w:rsidRDefault="00BC5284">
            <w:pPr>
              <w:pStyle w:val="TableTextStocktake"/>
              <w:jc w:val="right"/>
            </w:pPr>
            <w:r w:rsidRPr="00BC5284">
              <w:t>386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7921D9" w14:textId="77777777" w:rsidR="00BC5284" w:rsidRPr="00BC5284" w:rsidRDefault="00BC5284">
            <w:pPr>
              <w:pStyle w:val="TableTextStocktake"/>
              <w:jc w:val="right"/>
            </w:pPr>
            <w:r w:rsidRPr="00BC5284">
              <w:t>587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146BB5" w14:textId="77777777" w:rsidR="00BC5284" w:rsidRPr="00BC5284" w:rsidRDefault="00BC5284">
            <w:pPr>
              <w:pStyle w:val="TableTextStocktake"/>
              <w:jc w:val="right"/>
            </w:pPr>
            <w:r w:rsidRPr="00BC5284">
              <w:t>973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74CB8E" w14:textId="77777777" w:rsidR="00BC5284" w:rsidRPr="00BC5284" w:rsidRDefault="00BC5284">
            <w:pPr>
              <w:pStyle w:val="TableTextStocktake"/>
              <w:jc w:val="right"/>
            </w:pPr>
            <w:r w:rsidRPr="00BC5284">
              <w:t>53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B1E764" w14:textId="77777777" w:rsidR="00BC5284" w:rsidRPr="00BC5284" w:rsidRDefault="00BC5284">
            <w:pPr>
              <w:pStyle w:val="TableTextStocktake"/>
              <w:jc w:val="right"/>
            </w:pPr>
            <w:r w:rsidRPr="00BC5284">
              <w:t>1,026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06DB3D" w14:textId="77777777" w:rsidR="00BC5284" w:rsidRPr="00BC5284" w:rsidRDefault="00BC5284">
            <w:pPr>
              <w:pStyle w:val="TableTextStocktake"/>
              <w:jc w:val="right"/>
            </w:pPr>
            <w:r w:rsidRPr="00BC5284">
              <w:t>12,867</w:t>
            </w:r>
          </w:p>
        </w:tc>
      </w:tr>
      <w:tr w:rsidR="00BC5284" w:rsidRPr="00BC5284" w14:paraId="4F68CEF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8BE8BC" w14:textId="77777777" w:rsidR="00BC5284" w:rsidRPr="00BC5284" w:rsidRDefault="00BC5284">
            <w:pPr>
              <w:pStyle w:val="TableTextStocktake"/>
            </w:pPr>
            <w:r w:rsidRPr="00BC5284">
              <w:t>Port Phillip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6C5FBF"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A1F5A2" w14:textId="77777777" w:rsidR="00BC5284" w:rsidRPr="00BC5284" w:rsidRDefault="00BC5284">
            <w:pPr>
              <w:pStyle w:val="TableTextStocktake"/>
              <w:jc w:val="right"/>
            </w:pPr>
            <w:r w:rsidRPr="00BC5284">
              <w:t>21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591A20" w14:textId="77777777" w:rsidR="00BC5284" w:rsidRPr="00BC5284" w:rsidRDefault="00BC5284">
            <w:pPr>
              <w:pStyle w:val="TableTextStocktake"/>
              <w:jc w:val="right"/>
            </w:pPr>
            <w:r w:rsidRPr="00BC5284">
              <w:t>113,200</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4C020A" w14:textId="77777777" w:rsidR="00BC5284" w:rsidRPr="00BC5284" w:rsidRDefault="00BC5284">
            <w:pPr>
              <w:pStyle w:val="TableTextStocktake"/>
              <w:jc w:val="right"/>
            </w:pPr>
            <w:r w:rsidRPr="00BC5284">
              <w:t>133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F6E6E5" w14:textId="77777777" w:rsidR="00BC5284" w:rsidRPr="00BC5284" w:rsidRDefault="00BC5284">
            <w:pPr>
              <w:pStyle w:val="TableTextStocktake"/>
              <w:jc w:val="right"/>
            </w:pPr>
            <w:r w:rsidRPr="00BC5284">
              <w:t>288</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048795" w14:textId="77777777" w:rsidR="00BC5284" w:rsidRPr="00BC5284" w:rsidRDefault="00BC5284">
            <w:pPr>
              <w:pStyle w:val="TableTextStocktake"/>
              <w:jc w:val="right"/>
            </w:pPr>
            <w:r w:rsidRPr="00BC5284">
              <w:t>421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D20EEE" w14:textId="77777777" w:rsidR="00BC5284" w:rsidRPr="00BC5284" w:rsidRDefault="00BC5284">
            <w:pPr>
              <w:pStyle w:val="TableTextStocktake"/>
              <w:jc w:val="right"/>
            </w:pPr>
            <w:r w:rsidRPr="00BC5284">
              <w:t>35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93BC53" w14:textId="77777777" w:rsidR="00BC5284" w:rsidRPr="00BC5284" w:rsidRDefault="00BC5284">
            <w:pPr>
              <w:pStyle w:val="TableTextStocktake"/>
              <w:jc w:val="right"/>
            </w:pPr>
            <w:r w:rsidRPr="00BC5284">
              <w:t>456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AC69EE" w14:textId="77777777" w:rsidR="00BC5284" w:rsidRPr="00BC5284" w:rsidRDefault="00BC5284">
            <w:pPr>
              <w:pStyle w:val="TableTextStocktake"/>
              <w:jc w:val="right"/>
            </w:pPr>
            <w:r w:rsidRPr="00BC5284">
              <w:t>16,878</w:t>
            </w:r>
          </w:p>
        </w:tc>
      </w:tr>
      <w:tr w:rsidR="00BC5284" w:rsidRPr="00BC5284" w14:paraId="62ACCA8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D99FBF" w14:textId="77777777" w:rsidR="00BC5284" w:rsidRPr="00BC5284" w:rsidRDefault="00BC5284">
            <w:pPr>
              <w:pStyle w:val="TableTextStocktake"/>
            </w:pPr>
            <w:r w:rsidRPr="00BC5284">
              <w:t>Stonnington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D22213"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721BE2" w14:textId="77777777" w:rsidR="00BC5284" w:rsidRPr="00BC5284" w:rsidRDefault="00BC5284">
            <w:pPr>
              <w:pStyle w:val="TableTextStocktake"/>
              <w:jc w:val="right"/>
            </w:pPr>
            <w:r w:rsidRPr="00BC5284">
              <w:t>26</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A46394" w14:textId="77777777" w:rsidR="00BC5284" w:rsidRPr="00BC5284" w:rsidRDefault="00BC5284">
            <w:pPr>
              <w:pStyle w:val="TableTextStocktake"/>
              <w:jc w:val="right"/>
            </w:pPr>
            <w:r w:rsidRPr="00BC5284">
              <w:t>116,207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8CDA44" w14:textId="77777777" w:rsidR="00BC5284" w:rsidRPr="00BC5284" w:rsidRDefault="00BC5284">
            <w:pPr>
              <w:pStyle w:val="TableTextStocktake"/>
              <w:jc w:val="right"/>
            </w:pPr>
            <w:r w:rsidRPr="00BC5284">
              <w:t>55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9E30B3" w14:textId="77777777" w:rsidR="00BC5284" w:rsidRPr="00BC5284" w:rsidRDefault="00BC5284">
            <w:pPr>
              <w:pStyle w:val="TableTextStocktake"/>
              <w:jc w:val="right"/>
            </w:pPr>
            <w:r w:rsidRPr="00BC5284">
              <w:t>372</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BF469B" w14:textId="77777777" w:rsidR="00BC5284" w:rsidRPr="00BC5284" w:rsidRDefault="00BC5284">
            <w:pPr>
              <w:pStyle w:val="TableTextStocktake"/>
              <w:jc w:val="right"/>
            </w:pPr>
            <w:r w:rsidRPr="00BC5284">
              <w:t>427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045A49" w14:textId="77777777" w:rsidR="00BC5284" w:rsidRPr="00BC5284" w:rsidRDefault="00BC5284">
            <w:pPr>
              <w:pStyle w:val="TableTextStocktake"/>
              <w:jc w:val="right"/>
            </w:pPr>
            <w:r w:rsidRPr="00BC5284">
              <w:t>85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088246" w14:textId="77777777" w:rsidR="00BC5284" w:rsidRPr="00BC5284" w:rsidRDefault="00BC5284">
            <w:pPr>
              <w:pStyle w:val="TableTextStocktake"/>
              <w:jc w:val="right"/>
            </w:pPr>
            <w:r w:rsidRPr="00BC5284">
              <w:t>512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7ABCE1" w14:textId="77777777" w:rsidR="00BC5284" w:rsidRPr="00BC5284" w:rsidRDefault="00BC5284">
            <w:pPr>
              <w:pStyle w:val="TableTextStocktake"/>
              <w:jc w:val="right"/>
            </w:pPr>
            <w:r w:rsidRPr="00BC5284">
              <w:t>10,266</w:t>
            </w:r>
          </w:p>
        </w:tc>
      </w:tr>
      <w:tr w:rsidR="00BC5284" w:rsidRPr="00BC5284" w14:paraId="22A59568"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9E3294A" w14:textId="77777777" w:rsidR="00BC5284" w:rsidRPr="00BC5284" w:rsidRDefault="00BC5284">
            <w:pPr>
              <w:pStyle w:val="TableTextStocktake"/>
            </w:pPr>
            <w:r w:rsidRPr="00BC5284">
              <w:t>Yarra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AB3B9D9" w14:textId="77777777" w:rsidR="00BC5284" w:rsidRPr="00BC5284" w:rsidRDefault="00BC5284">
            <w:pPr>
              <w:pStyle w:val="TableTextStocktake"/>
            </w:pPr>
            <w:r w:rsidRPr="00BC5284">
              <w:t>Metro Inner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BED9BFE" w14:textId="77777777" w:rsidR="00BC5284" w:rsidRPr="00BC5284" w:rsidRDefault="00BC5284">
            <w:pPr>
              <w:pStyle w:val="TableTextStocktake"/>
              <w:jc w:val="right"/>
            </w:pPr>
            <w:r w:rsidRPr="00BC5284">
              <w:t>20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58610CE" w14:textId="77777777" w:rsidR="00BC5284" w:rsidRPr="00BC5284" w:rsidRDefault="00BC5284">
            <w:pPr>
              <w:pStyle w:val="TableTextStocktake"/>
              <w:jc w:val="right"/>
            </w:pPr>
            <w:r w:rsidRPr="00BC5284">
              <w:t>98,521</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33F64CA" w14:textId="77777777" w:rsidR="00BC5284" w:rsidRPr="00BC5284" w:rsidRDefault="00BC5284">
            <w:pPr>
              <w:pStyle w:val="TableTextStocktake"/>
              <w:jc w:val="right"/>
            </w:pPr>
            <w:r w:rsidRPr="00BC5284">
              <w:t>139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20A4478" w14:textId="77777777" w:rsidR="00BC5284" w:rsidRPr="00BC5284" w:rsidRDefault="00BC5284">
            <w:pPr>
              <w:pStyle w:val="TableTextStocktake"/>
              <w:jc w:val="right"/>
            </w:pPr>
            <w:r w:rsidRPr="00BC5284">
              <w:t>300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EF17414" w14:textId="77777777" w:rsidR="00BC5284" w:rsidRPr="00BC5284" w:rsidRDefault="00BC5284">
            <w:pPr>
              <w:pStyle w:val="TableTextStocktake"/>
              <w:jc w:val="right"/>
            </w:pPr>
            <w:r w:rsidRPr="00BC5284">
              <w:t>439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FFF14DC" w14:textId="77777777" w:rsidR="00BC5284" w:rsidRPr="00BC5284" w:rsidRDefault="00BC5284">
            <w:pPr>
              <w:pStyle w:val="TableTextStocktake"/>
              <w:jc w:val="right"/>
            </w:pPr>
            <w:r w:rsidRPr="00BC5284">
              <w:t>57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7CFFD7D" w14:textId="77777777" w:rsidR="00BC5284" w:rsidRPr="00BC5284" w:rsidRDefault="00BC5284">
            <w:pPr>
              <w:pStyle w:val="TableTextStocktake"/>
              <w:jc w:val="right"/>
            </w:pPr>
            <w:r w:rsidRPr="00BC5284">
              <w:t>496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13C556A" w14:textId="77777777" w:rsidR="00BC5284" w:rsidRPr="00BC5284" w:rsidRDefault="00BC5284">
            <w:pPr>
              <w:pStyle w:val="TableTextStocktake"/>
              <w:jc w:val="right"/>
            </w:pPr>
            <w:r w:rsidRPr="00BC5284">
              <w:t>22,505</w:t>
            </w:r>
          </w:p>
        </w:tc>
      </w:tr>
      <w:tr w:rsidR="00BC5284" w:rsidRPr="00BC5284" w14:paraId="5C667095" w14:textId="77777777" w:rsidTr="00125A6D">
        <w:trPr>
          <w:trHeight w:val="60"/>
        </w:trPr>
        <w:tc>
          <w:tcPr>
            <w:tcW w:w="250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5617EB6"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846F458"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518A0D8" w14:textId="77777777" w:rsidR="00BC5284" w:rsidRPr="00BC5284" w:rsidRDefault="00BC5284">
            <w:pPr>
              <w:pStyle w:val="TableTextStocktake"/>
              <w:jc w:val="right"/>
            </w:pPr>
            <w:r w:rsidRPr="00BC5284">
              <w:rPr>
                <w:rFonts w:ascii="FreightSans Pro Bold" w:hAnsi="FreightSans Pro Bold" w:cs="FreightSans Pro Bold"/>
                <w:b/>
                <w:bCs/>
              </w:rPr>
              <w:t>239</w:t>
            </w:r>
          </w:p>
        </w:tc>
        <w:tc>
          <w:tcPr>
            <w:tcW w:w="9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CDF663E" w14:textId="77777777" w:rsidR="00BC5284" w:rsidRPr="00BC5284" w:rsidRDefault="00BC5284">
            <w:pPr>
              <w:pStyle w:val="TableTextStocktake"/>
              <w:jc w:val="right"/>
            </w:pPr>
            <w:r w:rsidRPr="00BC5284">
              <w:rPr>
                <w:rFonts w:ascii="FreightSans Pro Bold" w:hAnsi="FreightSans Pro Bold" w:cs="FreightSans Pro Bold"/>
                <w:b/>
                <w:bCs/>
              </w:rPr>
              <w:t>938,754</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1624852" w14:textId="77777777" w:rsidR="00BC5284" w:rsidRPr="00BC5284" w:rsidRDefault="00BC5284">
            <w:pPr>
              <w:pStyle w:val="TableTextStocktake"/>
              <w:jc w:val="right"/>
            </w:pPr>
            <w:r w:rsidRPr="00BC5284">
              <w:rPr>
                <w:rFonts w:ascii="FreightSans Pro Bold" w:hAnsi="FreightSans Pro Bold" w:cs="FreightSans Pro Bold"/>
                <w:b/>
                <w:bCs/>
              </w:rPr>
              <w:t>820</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27D2590" w14:textId="77777777" w:rsidR="00BC5284" w:rsidRPr="00BC5284" w:rsidRDefault="00BC5284">
            <w:pPr>
              <w:pStyle w:val="TableTextStocktake"/>
              <w:jc w:val="right"/>
            </w:pPr>
            <w:r w:rsidRPr="00BC5284">
              <w:rPr>
                <w:rFonts w:ascii="FreightSans Pro Bold" w:hAnsi="FreightSans Pro Bold" w:cs="FreightSans Pro Bold"/>
                <w:b/>
                <w:bCs/>
              </w:rPr>
              <w:t>2,682</w:t>
            </w:r>
          </w:p>
        </w:tc>
        <w:tc>
          <w:tcPr>
            <w:tcW w:w="70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616F2DC" w14:textId="77777777" w:rsidR="00BC5284" w:rsidRPr="00BC5284" w:rsidRDefault="00BC5284">
            <w:pPr>
              <w:pStyle w:val="TableTextStocktake"/>
              <w:jc w:val="right"/>
            </w:pPr>
            <w:r w:rsidRPr="00BC5284">
              <w:rPr>
                <w:rFonts w:ascii="FreightSans Pro Bold" w:hAnsi="FreightSans Pro Bold" w:cs="FreightSans Pro Bold"/>
                <w:b/>
                <w:bCs/>
              </w:rPr>
              <w:t>3,502</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96FAAD3" w14:textId="77777777" w:rsidR="00BC5284" w:rsidRPr="00BC5284" w:rsidRDefault="00BC5284">
            <w:pPr>
              <w:pStyle w:val="TableTextStocktake"/>
              <w:jc w:val="right"/>
            </w:pPr>
            <w:r w:rsidRPr="00BC5284">
              <w:rPr>
                <w:rFonts w:ascii="FreightSans Pro Bold" w:hAnsi="FreightSans Pro Bold" w:cs="FreightSans Pro Bold"/>
                <w:b/>
                <w:bCs/>
              </w:rPr>
              <w:t>348</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BF956BE" w14:textId="77777777" w:rsidR="00BC5284" w:rsidRPr="00BC5284" w:rsidRDefault="00BC5284">
            <w:pPr>
              <w:pStyle w:val="TableTextStocktake"/>
              <w:jc w:val="right"/>
            </w:pPr>
            <w:r w:rsidRPr="00BC5284">
              <w:rPr>
                <w:rFonts w:ascii="FreightSans Pro Bold" w:hAnsi="FreightSans Pro Bold" w:cs="FreightSans Pro Bold"/>
                <w:b/>
                <w:bCs/>
              </w:rPr>
              <w:t>3,850</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78174B1" w14:textId="77777777" w:rsidR="00BC5284" w:rsidRPr="00BC5284" w:rsidRDefault="00BC5284">
            <w:pPr>
              <w:pStyle w:val="TableTextStocktake"/>
              <w:jc w:val="right"/>
            </w:pPr>
            <w:r w:rsidRPr="00BC5284">
              <w:rPr>
                <w:rFonts w:ascii="FreightSans Pro Bold" w:hAnsi="FreightSans Pro Bold" w:cs="FreightSans Pro Bold"/>
                <w:b/>
                <w:bCs/>
              </w:rPr>
              <w:t>82,777</w:t>
            </w:r>
          </w:p>
        </w:tc>
      </w:tr>
      <w:tr w:rsidR="00BC5284" w:rsidRPr="00BC5284" w14:paraId="5F1F9DD3" w14:textId="77777777" w:rsidTr="00125A6D">
        <w:trPr>
          <w:trHeight w:val="60"/>
        </w:trPr>
        <w:tc>
          <w:tcPr>
            <w:tcW w:w="250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0F9EC81" w14:textId="77777777" w:rsidR="00BC5284" w:rsidRPr="00BC5284" w:rsidRDefault="00BC5284">
            <w:pPr>
              <w:pStyle w:val="TableTextStocktake"/>
            </w:pPr>
            <w:r w:rsidRPr="00BC5284">
              <w:t>Banyule (C)</w:t>
            </w:r>
          </w:p>
        </w:tc>
        <w:tc>
          <w:tcPr>
            <w:tcW w:w="211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EF2EBAD" w14:textId="77777777" w:rsidR="00BC5284" w:rsidRPr="00BC5284" w:rsidRDefault="00BC5284">
            <w:pPr>
              <w:pStyle w:val="TableTextStocktake"/>
            </w:pPr>
            <w:r w:rsidRPr="00BC5284">
              <w:t>Metro Middle</w:t>
            </w:r>
          </w:p>
        </w:tc>
        <w:tc>
          <w:tcPr>
            <w:tcW w:w="65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8482B61" w14:textId="77777777" w:rsidR="00BC5284" w:rsidRPr="00BC5284" w:rsidRDefault="00BC5284">
            <w:pPr>
              <w:pStyle w:val="TableTextStocktake"/>
              <w:jc w:val="right"/>
            </w:pPr>
            <w:r w:rsidRPr="00BC5284">
              <w:t>63</w:t>
            </w:r>
          </w:p>
        </w:tc>
        <w:tc>
          <w:tcPr>
            <w:tcW w:w="9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3B518DC" w14:textId="77777777" w:rsidR="00BC5284" w:rsidRPr="00BC5284" w:rsidRDefault="00BC5284">
            <w:pPr>
              <w:pStyle w:val="TableTextStocktake"/>
              <w:jc w:val="right"/>
            </w:pPr>
            <w:r w:rsidRPr="00BC5284">
              <w:t>130,237</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58763B2" w14:textId="77777777" w:rsidR="00BC5284" w:rsidRPr="00BC5284" w:rsidRDefault="00BC5284">
            <w:pPr>
              <w:pStyle w:val="TableTextStocktake"/>
              <w:jc w:val="right"/>
            </w:pPr>
            <w:r w:rsidRPr="00BC5284">
              <w:t>21</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6089136" w14:textId="77777777" w:rsidR="00BC5284" w:rsidRPr="00BC5284" w:rsidRDefault="00BC5284">
            <w:pPr>
              <w:pStyle w:val="TableTextStocktake"/>
              <w:jc w:val="right"/>
            </w:pPr>
            <w:r w:rsidRPr="00BC5284">
              <w:t>167</w:t>
            </w:r>
          </w:p>
        </w:tc>
        <w:tc>
          <w:tcPr>
            <w:tcW w:w="70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1B78D86" w14:textId="77777777" w:rsidR="00BC5284" w:rsidRPr="00BC5284" w:rsidRDefault="00BC5284">
            <w:pPr>
              <w:pStyle w:val="TableTextStocktake"/>
              <w:jc w:val="right"/>
            </w:pPr>
            <w:r w:rsidRPr="00BC5284">
              <w:t>188</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9BD1D68" w14:textId="77777777" w:rsidR="00BC5284" w:rsidRPr="00BC5284" w:rsidRDefault="00BC5284">
            <w:pPr>
              <w:pStyle w:val="TableTextStocktake"/>
              <w:jc w:val="right"/>
            </w:pPr>
            <w:r w:rsidRPr="00BC5284">
              <w:t>2</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71DDC73" w14:textId="77777777" w:rsidR="00BC5284" w:rsidRPr="00BC5284" w:rsidRDefault="00BC5284">
            <w:pPr>
              <w:pStyle w:val="TableTextStocktake"/>
              <w:jc w:val="right"/>
            </w:pPr>
            <w:r w:rsidRPr="00BC5284">
              <w:t>190</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F9EEE10" w14:textId="77777777" w:rsidR="00BC5284" w:rsidRPr="00BC5284" w:rsidRDefault="00BC5284">
            <w:pPr>
              <w:pStyle w:val="TableTextStocktake"/>
              <w:jc w:val="right"/>
            </w:pPr>
            <w:r w:rsidRPr="00BC5284">
              <w:t>1,430</w:t>
            </w:r>
          </w:p>
        </w:tc>
      </w:tr>
      <w:tr w:rsidR="00BC5284" w:rsidRPr="00BC5284" w14:paraId="5E8F89A8"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F68277" w14:textId="77777777" w:rsidR="00BC5284" w:rsidRPr="00BC5284" w:rsidRDefault="00BC5284">
            <w:pPr>
              <w:pStyle w:val="TableTextStocktake"/>
            </w:pPr>
            <w:r w:rsidRPr="00BC5284">
              <w:t>Brimbank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F7EEC4"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8F9F61" w14:textId="77777777" w:rsidR="00BC5284" w:rsidRPr="00BC5284" w:rsidRDefault="00BC5284">
            <w:pPr>
              <w:pStyle w:val="TableTextStocktake"/>
              <w:jc w:val="right"/>
            </w:pPr>
            <w:r w:rsidRPr="00BC5284">
              <w:t>123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E245B2" w14:textId="77777777" w:rsidR="00BC5284" w:rsidRPr="00BC5284" w:rsidRDefault="00BC5284">
            <w:pPr>
              <w:pStyle w:val="TableTextStocktake"/>
              <w:jc w:val="right"/>
            </w:pPr>
            <w:r w:rsidRPr="00BC5284">
              <w:t>208,714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98A870" w14:textId="77777777" w:rsidR="00BC5284" w:rsidRPr="00BC5284" w:rsidRDefault="00BC5284">
            <w:pPr>
              <w:pStyle w:val="TableTextStocktake"/>
              <w:jc w:val="right"/>
            </w:pPr>
            <w:r w:rsidRPr="00BC5284">
              <w:t>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82A462" w14:textId="77777777" w:rsidR="00BC5284" w:rsidRPr="00BC5284" w:rsidRDefault="00BC5284">
            <w:pPr>
              <w:pStyle w:val="TableTextStocktake"/>
              <w:jc w:val="right"/>
            </w:pPr>
            <w:r w:rsidRPr="00BC5284">
              <w:t>107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E91952" w14:textId="77777777" w:rsidR="00BC5284" w:rsidRPr="00BC5284" w:rsidRDefault="00BC5284">
            <w:pPr>
              <w:pStyle w:val="TableTextStocktake"/>
              <w:jc w:val="right"/>
            </w:pPr>
            <w:r w:rsidRPr="00BC5284">
              <w:t>120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7D30D7"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C7579D" w14:textId="77777777" w:rsidR="00BC5284" w:rsidRPr="00BC5284" w:rsidRDefault="00BC5284">
            <w:pPr>
              <w:pStyle w:val="TableTextStocktake"/>
              <w:jc w:val="right"/>
            </w:pPr>
            <w:r w:rsidRPr="00BC5284">
              <w:t>127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78DBA7" w14:textId="77777777" w:rsidR="00BC5284" w:rsidRPr="00BC5284" w:rsidRDefault="00BC5284">
            <w:pPr>
              <w:pStyle w:val="TableTextStocktake"/>
              <w:jc w:val="right"/>
            </w:pPr>
            <w:r w:rsidRPr="00BC5284">
              <w:t>1,360</w:t>
            </w:r>
          </w:p>
        </w:tc>
      </w:tr>
      <w:tr w:rsidR="00BC5284" w:rsidRPr="00BC5284" w14:paraId="0F5DD5C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A0D2C4" w14:textId="77777777" w:rsidR="00BC5284" w:rsidRPr="00BC5284" w:rsidRDefault="00BC5284">
            <w:pPr>
              <w:pStyle w:val="TableTextStocktake"/>
            </w:pPr>
            <w:r w:rsidRPr="00BC5284">
              <w:t>Darebin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C26FCA"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474FE8" w14:textId="77777777" w:rsidR="00BC5284" w:rsidRPr="00BC5284" w:rsidRDefault="00BC5284">
            <w:pPr>
              <w:pStyle w:val="TableTextStocktake"/>
              <w:jc w:val="right"/>
            </w:pPr>
            <w:r w:rsidRPr="00BC5284">
              <w:t>54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D1419B" w14:textId="77777777" w:rsidR="00BC5284" w:rsidRPr="00BC5284" w:rsidRDefault="00BC5284">
            <w:pPr>
              <w:pStyle w:val="TableTextStocktake"/>
              <w:jc w:val="right"/>
            </w:pPr>
            <w:r w:rsidRPr="00BC5284">
              <w:t>161,609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CEDEB4"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4281EC" w14:textId="77777777" w:rsidR="00BC5284" w:rsidRPr="00BC5284" w:rsidRDefault="00BC5284">
            <w:pPr>
              <w:pStyle w:val="TableTextStocktake"/>
              <w:jc w:val="right"/>
            </w:pPr>
            <w:r w:rsidRPr="00BC5284">
              <w:t>245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7F0F1B" w14:textId="77777777" w:rsidR="00BC5284" w:rsidRPr="00BC5284" w:rsidRDefault="00BC5284">
            <w:pPr>
              <w:pStyle w:val="TableTextStocktake"/>
              <w:jc w:val="right"/>
            </w:pPr>
            <w:r w:rsidRPr="00BC5284">
              <w:t>252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734685" w14:textId="77777777" w:rsidR="00BC5284" w:rsidRPr="00BC5284" w:rsidRDefault="00BC5284">
            <w:pPr>
              <w:pStyle w:val="TableTextStocktake"/>
              <w:jc w:val="right"/>
            </w:pPr>
            <w:r w:rsidRPr="00BC5284">
              <w:t>47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650946" w14:textId="77777777" w:rsidR="00BC5284" w:rsidRPr="00BC5284" w:rsidRDefault="00BC5284">
            <w:pPr>
              <w:pStyle w:val="TableTextStocktake"/>
              <w:jc w:val="right"/>
            </w:pPr>
            <w:r w:rsidRPr="00BC5284">
              <w:t>299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219BAB" w14:textId="77777777" w:rsidR="00BC5284" w:rsidRPr="00BC5284" w:rsidRDefault="00BC5284">
            <w:pPr>
              <w:pStyle w:val="TableTextStocktake"/>
              <w:jc w:val="right"/>
            </w:pPr>
            <w:r w:rsidRPr="00BC5284">
              <w:t>5,303</w:t>
            </w:r>
          </w:p>
        </w:tc>
      </w:tr>
      <w:tr w:rsidR="00BC5284" w:rsidRPr="00BC5284" w14:paraId="60D61523"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DEE0ED" w14:textId="77777777" w:rsidR="00BC5284" w:rsidRPr="00BC5284" w:rsidRDefault="00BC5284">
            <w:pPr>
              <w:pStyle w:val="TableTextStocktake"/>
            </w:pPr>
            <w:r w:rsidRPr="00BC5284">
              <w:t>Frankston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67AF54"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BDEB14" w14:textId="77777777" w:rsidR="00BC5284" w:rsidRPr="00BC5284" w:rsidRDefault="00BC5284">
            <w:pPr>
              <w:pStyle w:val="TableTextStocktake"/>
              <w:jc w:val="right"/>
            </w:pPr>
            <w:r w:rsidRPr="00BC5284">
              <w:t>130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F035A1" w14:textId="77777777" w:rsidR="00BC5284" w:rsidRPr="00BC5284" w:rsidRDefault="00BC5284">
            <w:pPr>
              <w:pStyle w:val="TableTextStocktake"/>
              <w:jc w:val="right"/>
            </w:pPr>
            <w:r w:rsidRPr="00BC5284">
              <w:t>141,845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4659BF"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EDE2C3" w14:textId="77777777" w:rsidR="00BC5284" w:rsidRPr="00BC5284" w:rsidRDefault="00BC5284">
            <w:pPr>
              <w:pStyle w:val="TableTextStocktake"/>
              <w:jc w:val="right"/>
            </w:pPr>
            <w:r w:rsidRPr="00BC5284">
              <w:t>63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20F54F" w14:textId="77777777" w:rsidR="00BC5284" w:rsidRPr="00BC5284" w:rsidRDefault="00BC5284">
            <w:pPr>
              <w:pStyle w:val="TableTextStocktake"/>
              <w:jc w:val="right"/>
            </w:pPr>
            <w:r w:rsidRPr="00BC5284">
              <w:t>70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6FA075"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6B6A4A" w14:textId="77777777" w:rsidR="00BC5284" w:rsidRPr="00BC5284" w:rsidRDefault="00BC5284">
            <w:pPr>
              <w:pStyle w:val="TableTextStocktake"/>
              <w:jc w:val="right"/>
            </w:pPr>
            <w:r w:rsidRPr="00BC5284">
              <w:t>71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D98528" w14:textId="77777777" w:rsidR="00BC5284" w:rsidRPr="00BC5284" w:rsidRDefault="00BC5284">
            <w:pPr>
              <w:pStyle w:val="TableTextStocktake"/>
              <w:jc w:val="right"/>
            </w:pPr>
            <w:r w:rsidRPr="00BC5284">
              <w:t>127</w:t>
            </w:r>
          </w:p>
        </w:tc>
      </w:tr>
      <w:tr w:rsidR="00BC5284" w:rsidRPr="00BC5284" w14:paraId="2D49A76C"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F5D61B" w14:textId="77777777" w:rsidR="00BC5284" w:rsidRPr="00BC5284" w:rsidRDefault="00BC5284">
            <w:pPr>
              <w:pStyle w:val="TableTextStocktake"/>
            </w:pPr>
            <w:r w:rsidRPr="00BC5284">
              <w:t>Greater Dandenong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237CFC"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7EABB6" w14:textId="77777777" w:rsidR="00BC5284" w:rsidRPr="00BC5284" w:rsidRDefault="00BC5284">
            <w:pPr>
              <w:pStyle w:val="TableTextStocktake"/>
              <w:jc w:val="right"/>
            </w:pPr>
            <w:r w:rsidRPr="00BC5284">
              <w:t>130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8E28A1" w14:textId="77777777" w:rsidR="00BC5284" w:rsidRPr="00BC5284" w:rsidRDefault="00BC5284">
            <w:pPr>
              <w:pStyle w:val="TableTextStocktake"/>
              <w:jc w:val="right"/>
            </w:pPr>
            <w:r w:rsidRPr="00BC5284">
              <w:t>166,094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B97537"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D298D3" w14:textId="77777777" w:rsidR="00BC5284" w:rsidRPr="00BC5284" w:rsidRDefault="00BC5284">
            <w:pPr>
              <w:pStyle w:val="TableTextStocktake"/>
              <w:jc w:val="right"/>
            </w:pPr>
            <w:r w:rsidRPr="00BC5284">
              <w:t>67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3D81F7" w14:textId="77777777" w:rsidR="00BC5284" w:rsidRPr="00BC5284" w:rsidRDefault="00BC5284">
            <w:pPr>
              <w:pStyle w:val="TableTextStocktake"/>
              <w:jc w:val="right"/>
            </w:pPr>
            <w:r w:rsidRPr="00BC5284">
              <w:t>68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AF93C2"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C447B4" w14:textId="77777777" w:rsidR="00BC5284" w:rsidRPr="00BC5284" w:rsidRDefault="00BC5284">
            <w:pPr>
              <w:pStyle w:val="TableTextStocktake"/>
              <w:jc w:val="right"/>
            </w:pPr>
            <w:r w:rsidRPr="00BC5284">
              <w:t>68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FF9024" w14:textId="77777777" w:rsidR="00BC5284" w:rsidRPr="00BC5284" w:rsidRDefault="00BC5284">
            <w:pPr>
              <w:pStyle w:val="TableTextStocktake"/>
              <w:jc w:val="right"/>
            </w:pPr>
            <w:r w:rsidRPr="00BC5284">
              <w:t>158</w:t>
            </w:r>
          </w:p>
        </w:tc>
      </w:tr>
      <w:tr w:rsidR="00BC5284" w:rsidRPr="00BC5284" w14:paraId="7BD886E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A894E6" w14:textId="77777777" w:rsidR="00BC5284" w:rsidRPr="00BC5284" w:rsidRDefault="00BC5284">
            <w:pPr>
              <w:pStyle w:val="TableTextStocktake"/>
            </w:pPr>
            <w:r w:rsidRPr="00BC5284">
              <w:t>Hobsons Bay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654460"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FCE46E" w14:textId="77777777" w:rsidR="00BC5284" w:rsidRPr="00BC5284" w:rsidRDefault="00BC5284">
            <w:pPr>
              <w:pStyle w:val="TableTextStocktake"/>
              <w:jc w:val="right"/>
            </w:pPr>
            <w:r w:rsidRPr="00BC5284">
              <w:t>64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D4035E" w14:textId="77777777" w:rsidR="00BC5284" w:rsidRPr="00BC5284" w:rsidRDefault="00BC5284">
            <w:pPr>
              <w:pStyle w:val="TableTextStocktake"/>
              <w:jc w:val="right"/>
            </w:pPr>
            <w:r w:rsidRPr="00BC5284">
              <w:t>96,470</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91D17E" w14:textId="77777777" w:rsidR="00BC5284" w:rsidRPr="00BC5284" w:rsidRDefault="00BC5284">
            <w:pPr>
              <w:pStyle w:val="TableTextStocktake"/>
              <w:jc w:val="right"/>
            </w:pPr>
            <w:r w:rsidRPr="00BC5284">
              <w:t>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1E85EC" w14:textId="77777777" w:rsidR="00BC5284" w:rsidRPr="00BC5284" w:rsidRDefault="00BC5284">
            <w:pPr>
              <w:pStyle w:val="TableTextStocktake"/>
              <w:jc w:val="right"/>
            </w:pPr>
            <w:r w:rsidRPr="00BC5284">
              <w:t>246</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047C96" w14:textId="77777777" w:rsidR="00BC5284" w:rsidRPr="00BC5284" w:rsidRDefault="00BC5284">
            <w:pPr>
              <w:pStyle w:val="TableTextStocktake"/>
              <w:jc w:val="right"/>
            </w:pPr>
            <w:r w:rsidRPr="00BC5284">
              <w:t>273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2C6CC4" w14:textId="77777777" w:rsidR="00BC5284" w:rsidRPr="00BC5284" w:rsidRDefault="00BC5284">
            <w:pPr>
              <w:pStyle w:val="TableTextStocktake"/>
              <w:jc w:val="right"/>
            </w:pPr>
            <w:r w:rsidRPr="00BC5284">
              <w:t>34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559916" w14:textId="77777777" w:rsidR="00BC5284" w:rsidRPr="00BC5284" w:rsidRDefault="00BC5284">
            <w:pPr>
              <w:pStyle w:val="TableTextStocktake"/>
              <w:jc w:val="right"/>
            </w:pPr>
            <w:r w:rsidRPr="00BC5284">
              <w:t>307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DE9A76" w14:textId="77777777" w:rsidR="00BC5284" w:rsidRPr="00BC5284" w:rsidRDefault="00BC5284">
            <w:pPr>
              <w:pStyle w:val="TableTextStocktake"/>
              <w:jc w:val="right"/>
            </w:pPr>
            <w:r w:rsidRPr="00BC5284">
              <w:t>6,893</w:t>
            </w:r>
          </w:p>
        </w:tc>
      </w:tr>
      <w:tr w:rsidR="00BC5284" w:rsidRPr="00BC5284" w14:paraId="2A9ED91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BCCE59" w14:textId="77777777" w:rsidR="00BC5284" w:rsidRPr="00BC5284" w:rsidRDefault="00BC5284">
            <w:pPr>
              <w:pStyle w:val="TableTextStocktake"/>
            </w:pPr>
            <w:r w:rsidRPr="00BC5284">
              <w:t>Kingston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44F23E"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0DFA0F" w14:textId="77777777" w:rsidR="00BC5284" w:rsidRPr="00BC5284" w:rsidRDefault="00BC5284">
            <w:pPr>
              <w:pStyle w:val="TableTextStocktake"/>
              <w:jc w:val="right"/>
            </w:pPr>
            <w:r w:rsidRPr="00BC5284">
              <w:t>91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3EDA82" w14:textId="77777777" w:rsidR="00BC5284" w:rsidRPr="00BC5284" w:rsidRDefault="00BC5284">
            <w:pPr>
              <w:pStyle w:val="TableTextStocktake"/>
              <w:jc w:val="right"/>
            </w:pPr>
            <w:r w:rsidRPr="00BC5284">
              <w:t>163,431</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516485"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8A4478" w14:textId="77777777" w:rsidR="00BC5284" w:rsidRPr="00BC5284" w:rsidRDefault="00BC5284">
            <w:pPr>
              <w:pStyle w:val="TableTextStocktake"/>
              <w:jc w:val="right"/>
            </w:pPr>
            <w:r w:rsidRPr="00BC5284">
              <w:t>109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7176B4" w14:textId="77777777" w:rsidR="00BC5284" w:rsidRPr="00BC5284" w:rsidRDefault="00BC5284">
            <w:pPr>
              <w:pStyle w:val="TableTextStocktake"/>
              <w:jc w:val="right"/>
            </w:pPr>
            <w:r w:rsidRPr="00BC5284">
              <w:t>116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E39955" w14:textId="77777777" w:rsidR="00BC5284" w:rsidRPr="00BC5284" w:rsidRDefault="00BC5284">
            <w:pPr>
              <w:pStyle w:val="TableTextStocktake"/>
              <w:jc w:val="right"/>
            </w:pPr>
            <w:r w:rsidRPr="00BC5284">
              <w:t>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7DFF5C" w14:textId="77777777" w:rsidR="00BC5284" w:rsidRPr="00BC5284" w:rsidRDefault="00BC5284">
            <w:pPr>
              <w:pStyle w:val="TableTextStocktake"/>
              <w:jc w:val="right"/>
            </w:pPr>
            <w:r w:rsidRPr="00BC5284">
              <w:t>122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BA5013" w14:textId="77777777" w:rsidR="00BC5284" w:rsidRPr="00BC5284" w:rsidRDefault="00BC5284">
            <w:pPr>
              <w:pStyle w:val="TableTextStocktake"/>
              <w:jc w:val="right"/>
            </w:pPr>
            <w:r w:rsidRPr="00BC5284">
              <w:t>455</w:t>
            </w:r>
          </w:p>
        </w:tc>
      </w:tr>
      <w:tr w:rsidR="00BC5284" w:rsidRPr="00BC5284" w14:paraId="53826E75"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FA5E3C" w14:textId="77777777" w:rsidR="00BC5284" w:rsidRPr="00BC5284" w:rsidRDefault="00BC5284">
            <w:pPr>
              <w:pStyle w:val="TableTextStocktake"/>
            </w:pPr>
            <w:r w:rsidRPr="00BC5284">
              <w:t>Knox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FDDD57"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213FA0" w14:textId="77777777" w:rsidR="00BC5284" w:rsidRPr="00BC5284" w:rsidRDefault="00BC5284">
            <w:pPr>
              <w:pStyle w:val="TableTextStocktake"/>
              <w:jc w:val="right"/>
            </w:pPr>
            <w:r w:rsidRPr="00BC5284">
              <w:t>114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92C1FB" w14:textId="77777777" w:rsidR="00BC5284" w:rsidRPr="00BC5284" w:rsidRDefault="00BC5284">
            <w:pPr>
              <w:pStyle w:val="TableTextStocktake"/>
              <w:jc w:val="right"/>
            </w:pPr>
            <w:r w:rsidRPr="00BC5284">
              <w:t>163,203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288064" w14:textId="77777777" w:rsidR="00BC5284" w:rsidRPr="00BC5284" w:rsidRDefault="00BC5284">
            <w:pPr>
              <w:pStyle w:val="TableTextStocktake"/>
              <w:jc w:val="right"/>
            </w:pPr>
            <w:r w:rsidRPr="00BC5284">
              <w:t>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D25DBB" w14:textId="77777777" w:rsidR="00BC5284" w:rsidRPr="00BC5284" w:rsidRDefault="00BC5284">
            <w:pPr>
              <w:pStyle w:val="TableTextStocktake"/>
              <w:jc w:val="right"/>
            </w:pPr>
            <w:r w:rsidRPr="00BC5284">
              <w:t>48</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62D43A" w14:textId="77777777" w:rsidR="00BC5284" w:rsidRPr="00BC5284" w:rsidRDefault="00BC5284">
            <w:pPr>
              <w:pStyle w:val="TableTextStocktake"/>
              <w:jc w:val="right"/>
            </w:pPr>
            <w:r w:rsidRPr="00BC5284">
              <w:t>50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74BAAC"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2A06DD" w14:textId="77777777" w:rsidR="00BC5284" w:rsidRPr="00BC5284" w:rsidRDefault="00BC5284">
            <w:pPr>
              <w:pStyle w:val="TableTextStocktake"/>
              <w:jc w:val="right"/>
            </w:pPr>
            <w:r w:rsidRPr="00BC5284">
              <w:t>50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5636D6" w14:textId="77777777" w:rsidR="00BC5284" w:rsidRPr="00BC5284" w:rsidRDefault="00BC5284">
            <w:pPr>
              <w:pStyle w:val="TableTextStocktake"/>
              <w:jc w:val="right"/>
            </w:pPr>
            <w:r w:rsidRPr="00BC5284">
              <w:t>105</w:t>
            </w:r>
          </w:p>
        </w:tc>
      </w:tr>
      <w:tr w:rsidR="00BC5284" w:rsidRPr="00BC5284" w14:paraId="43C4264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D4599E" w14:textId="77777777" w:rsidR="00BC5284" w:rsidRPr="00BC5284" w:rsidRDefault="00BC5284">
            <w:pPr>
              <w:pStyle w:val="TableTextStocktake"/>
            </w:pPr>
            <w:r w:rsidRPr="00BC5284">
              <w:t>Manningham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7ED771"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1BEA1C" w14:textId="77777777" w:rsidR="00BC5284" w:rsidRPr="00BC5284" w:rsidRDefault="00BC5284">
            <w:pPr>
              <w:pStyle w:val="TableTextStocktake"/>
              <w:jc w:val="right"/>
            </w:pPr>
            <w:r w:rsidRPr="00BC5284">
              <w:t>113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F108C4" w14:textId="77777777" w:rsidR="00BC5284" w:rsidRPr="00BC5284" w:rsidRDefault="00BC5284">
            <w:pPr>
              <w:pStyle w:val="TableTextStocktake"/>
              <w:jc w:val="right"/>
            </w:pPr>
            <w:r w:rsidRPr="00BC5284">
              <w:t>125,508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EA23D2"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6CCFE3" w14:textId="77777777" w:rsidR="00BC5284" w:rsidRPr="00BC5284" w:rsidRDefault="00BC5284">
            <w:pPr>
              <w:pStyle w:val="TableTextStocktake"/>
              <w:jc w:val="right"/>
            </w:pPr>
            <w:r w:rsidRPr="00BC5284">
              <w:t>185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6FEB77" w14:textId="77777777" w:rsidR="00BC5284" w:rsidRPr="00BC5284" w:rsidRDefault="00BC5284">
            <w:pPr>
              <w:pStyle w:val="TableTextStocktake"/>
              <w:jc w:val="right"/>
            </w:pPr>
            <w:r w:rsidRPr="00BC5284">
              <w:t>196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A92753" w14:textId="77777777" w:rsidR="00BC5284" w:rsidRPr="00BC5284" w:rsidRDefault="00BC5284">
            <w:pPr>
              <w:pStyle w:val="TableTextStocktake"/>
              <w:jc w:val="right"/>
            </w:pPr>
            <w:r w:rsidRPr="00BC5284">
              <w:t>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564EA2" w14:textId="77777777" w:rsidR="00BC5284" w:rsidRPr="00BC5284" w:rsidRDefault="00BC5284">
            <w:pPr>
              <w:pStyle w:val="TableTextStocktake"/>
              <w:jc w:val="right"/>
            </w:pPr>
            <w:r w:rsidRPr="00BC5284">
              <w:t>205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13482A" w14:textId="77777777" w:rsidR="00BC5284" w:rsidRPr="00BC5284" w:rsidRDefault="00BC5284">
            <w:pPr>
              <w:pStyle w:val="TableTextStocktake"/>
              <w:jc w:val="right"/>
            </w:pPr>
            <w:r w:rsidRPr="00BC5284">
              <w:t>679</w:t>
            </w:r>
          </w:p>
        </w:tc>
      </w:tr>
      <w:tr w:rsidR="00BC5284" w:rsidRPr="00BC5284" w14:paraId="40CF38B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FD8CBE" w14:textId="77777777" w:rsidR="00BC5284" w:rsidRPr="00BC5284" w:rsidRDefault="00BC5284">
            <w:pPr>
              <w:pStyle w:val="TableTextStocktake"/>
            </w:pPr>
            <w:r w:rsidRPr="00BC5284">
              <w:t>Maribyrnong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0D4723"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6EFC0F" w14:textId="77777777" w:rsidR="00BC5284" w:rsidRPr="00BC5284" w:rsidRDefault="00BC5284">
            <w:pPr>
              <w:pStyle w:val="TableTextStocktake"/>
              <w:jc w:val="right"/>
            </w:pPr>
            <w:r w:rsidRPr="00BC5284">
              <w:t>31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C885F9" w14:textId="77777777" w:rsidR="00BC5284" w:rsidRPr="00BC5284" w:rsidRDefault="00BC5284">
            <w:pPr>
              <w:pStyle w:val="TableTextStocktake"/>
              <w:jc w:val="right"/>
            </w:pPr>
            <w:r w:rsidRPr="00BC5284">
              <w:t>91,387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C84F9E" w14:textId="77777777" w:rsidR="00BC5284" w:rsidRPr="00BC5284" w:rsidRDefault="00BC5284">
            <w:pPr>
              <w:pStyle w:val="TableTextStocktake"/>
              <w:jc w:val="right"/>
            </w:pPr>
            <w:r w:rsidRPr="00BC5284">
              <w:t>22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A30FAE" w14:textId="77777777" w:rsidR="00BC5284" w:rsidRPr="00BC5284" w:rsidRDefault="00BC5284">
            <w:pPr>
              <w:pStyle w:val="TableTextStocktake"/>
              <w:jc w:val="right"/>
            </w:pPr>
            <w:r w:rsidRPr="00BC5284">
              <w:t>164</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9D514A" w14:textId="77777777" w:rsidR="00BC5284" w:rsidRPr="00BC5284" w:rsidRDefault="00BC5284">
            <w:pPr>
              <w:pStyle w:val="TableTextStocktake"/>
              <w:jc w:val="right"/>
            </w:pPr>
            <w:r w:rsidRPr="00BC5284">
              <w:t>186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445DDF"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D2139E" w14:textId="77777777" w:rsidR="00BC5284" w:rsidRPr="00BC5284" w:rsidRDefault="00BC5284">
            <w:pPr>
              <w:pStyle w:val="TableTextStocktake"/>
              <w:jc w:val="right"/>
            </w:pPr>
            <w:r w:rsidRPr="00BC5284">
              <w:t>187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478BE9" w14:textId="77777777" w:rsidR="00BC5284" w:rsidRPr="00BC5284" w:rsidRDefault="00BC5284">
            <w:pPr>
              <w:pStyle w:val="TableTextStocktake"/>
              <w:jc w:val="right"/>
            </w:pPr>
            <w:r w:rsidRPr="00BC5284">
              <w:t>4,700</w:t>
            </w:r>
          </w:p>
        </w:tc>
      </w:tr>
      <w:tr w:rsidR="00BC5284" w:rsidRPr="00BC5284" w14:paraId="5FB2762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BED057" w14:textId="77777777" w:rsidR="00BC5284" w:rsidRPr="00BC5284" w:rsidRDefault="00BC5284">
            <w:pPr>
              <w:pStyle w:val="TableTextStocktake"/>
            </w:pPr>
            <w:r w:rsidRPr="00BC5284">
              <w:t>Maroondah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4B84F9"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394FD4" w14:textId="77777777" w:rsidR="00BC5284" w:rsidRPr="00BC5284" w:rsidRDefault="00BC5284">
            <w:pPr>
              <w:pStyle w:val="TableTextStocktake"/>
              <w:jc w:val="right"/>
            </w:pPr>
            <w:r w:rsidRPr="00BC5284">
              <w:t>61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B825CD" w14:textId="77777777" w:rsidR="00BC5284" w:rsidRPr="00BC5284" w:rsidRDefault="00BC5284">
            <w:pPr>
              <w:pStyle w:val="TableTextStocktake"/>
              <w:jc w:val="right"/>
            </w:pPr>
            <w:r w:rsidRPr="00BC5284">
              <w:t>117,498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8EDC46" w14:textId="77777777" w:rsidR="00BC5284" w:rsidRPr="00BC5284" w:rsidRDefault="00BC5284">
            <w:pPr>
              <w:pStyle w:val="TableTextStocktake"/>
              <w:jc w:val="right"/>
            </w:pPr>
            <w:r w:rsidRPr="00BC5284">
              <w:t>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A5491E" w14:textId="77777777" w:rsidR="00BC5284" w:rsidRPr="00BC5284" w:rsidRDefault="00BC5284">
            <w:pPr>
              <w:pStyle w:val="TableTextStocktake"/>
              <w:jc w:val="right"/>
            </w:pPr>
            <w:r w:rsidRPr="00BC5284">
              <w:t>118</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F2C128" w14:textId="77777777" w:rsidR="00BC5284" w:rsidRPr="00BC5284" w:rsidRDefault="00BC5284">
            <w:pPr>
              <w:pStyle w:val="TableTextStocktake"/>
              <w:jc w:val="right"/>
            </w:pPr>
            <w:r w:rsidRPr="00BC5284">
              <w:t>120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E8CEAB" w14:textId="77777777" w:rsidR="00BC5284" w:rsidRPr="00BC5284" w:rsidRDefault="00BC5284">
            <w:pPr>
              <w:pStyle w:val="TableTextStocktake"/>
              <w:jc w:val="right"/>
            </w:pPr>
            <w:r w:rsidRPr="00BC5284">
              <w:t>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4D61FB" w14:textId="77777777" w:rsidR="00BC5284" w:rsidRPr="00BC5284" w:rsidRDefault="00BC5284">
            <w:pPr>
              <w:pStyle w:val="TableTextStocktake"/>
              <w:jc w:val="right"/>
            </w:pPr>
            <w:r w:rsidRPr="00BC5284">
              <w:t>133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B4C9E8" w14:textId="77777777" w:rsidR="00BC5284" w:rsidRPr="00BC5284" w:rsidRDefault="00BC5284">
            <w:pPr>
              <w:pStyle w:val="TableTextStocktake"/>
              <w:jc w:val="right"/>
            </w:pPr>
            <w:r w:rsidRPr="00BC5284">
              <w:t>297</w:t>
            </w:r>
          </w:p>
        </w:tc>
      </w:tr>
      <w:tr w:rsidR="00BC5284" w:rsidRPr="00BC5284" w14:paraId="4DF23088"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6BFB87" w14:textId="77777777" w:rsidR="00BC5284" w:rsidRPr="00BC5284" w:rsidRDefault="00BC5284">
            <w:pPr>
              <w:pStyle w:val="TableTextStocktake"/>
            </w:pPr>
            <w:r w:rsidRPr="00BC5284">
              <w:t>Monash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9D54D1"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CBA98B" w14:textId="77777777" w:rsidR="00BC5284" w:rsidRPr="00BC5284" w:rsidRDefault="00BC5284">
            <w:pPr>
              <w:pStyle w:val="TableTextStocktake"/>
              <w:jc w:val="right"/>
            </w:pPr>
            <w:r w:rsidRPr="00BC5284">
              <w:t>82</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342E9B" w14:textId="77777777" w:rsidR="00BC5284" w:rsidRPr="00BC5284" w:rsidRDefault="00BC5284">
            <w:pPr>
              <w:pStyle w:val="TableTextStocktake"/>
              <w:jc w:val="right"/>
            </w:pPr>
            <w:r w:rsidRPr="00BC5284">
              <w:t>200,077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ECECEA" w14:textId="77777777" w:rsidR="00BC5284" w:rsidRPr="00BC5284" w:rsidRDefault="00BC5284">
            <w:pPr>
              <w:pStyle w:val="TableTextStocktake"/>
              <w:jc w:val="right"/>
            </w:pPr>
            <w:r w:rsidRPr="00BC5284">
              <w:t>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49A98C" w14:textId="77777777" w:rsidR="00BC5284" w:rsidRPr="00BC5284" w:rsidRDefault="00BC5284">
            <w:pPr>
              <w:pStyle w:val="TableTextStocktake"/>
              <w:jc w:val="right"/>
            </w:pPr>
            <w:r w:rsidRPr="00BC5284">
              <w:t>90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FA1FD9" w14:textId="77777777" w:rsidR="00BC5284" w:rsidRPr="00BC5284" w:rsidRDefault="00BC5284">
            <w:pPr>
              <w:pStyle w:val="TableTextStocktake"/>
              <w:jc w:val="right"/>
            </w:pPr>
            <w:r w:rsidRPr="00BC5284">
              <w:t>96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A4A652"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8D4D24" w14:textId="77777777" w:rsidR="00BC5284" w:rsidRPr="00BC5284" w:rsidRDefault="00BC5284">
            <w:pPr>
              <w:pStyle w:val="TableTextStocktake"/>
              <w:jc w:val="right"/>
            </w:pPr>
            <w:r w:rsidRPr="00BC5284">
              <w:t>103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D51E25" w14:textId="77777777" w:rsidR="00BC5284" w:rsidRPr="00BC5284" w:rsidRDefault="00BC5284">
            <w:pPr>
              <w:pStyle w:val="TableTextStocktake"/>
              <w:jc w:val="right"/>
            </w:pPr>
            <w:r w:rsidRPr="00BC5284">
              <w:t>1,320</w:t>
            </w:r>
          </w:p>
        </w:tc>
      </w:tr>
      <w:tr w:rsidR="00BC5284" w:rsidRPr="00BC5284" w14:paraId="282D65BE"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3CA8FF" w14:textId="77777777" w:rsidR="00BC5284" w:rsidRPr="00BC5284" w:rsidRDefault="00BC5284">
            <w:pPr>
              <w:pStyle w:val="TableTextStocktake"/>
            </w:pPr>
            <w:r w:rsidRPr="00BC5284">
              <w:t>Moonee Valley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2C2570"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A51B9E" w14:textId="77777777" w:rsidR="00BC5284" w:rsidRPr="00BC5284" w:rsidRDefault="00BC5284">
            <w:pPr>
              <w:pStyle w:val="TableTextStocktake"/>
              <w:jc w:val="right"/>
            </w:pPr>
            <w:r w:rsidRPr="00BC5284">
              <w:t>43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2165BF" w14:textId="77777777" w:rsidR="00BC5284" w:rsidRPr="00BC5284" w:rsidRDefault="00BC5284">
            <w:pPr>
              <w:pStyle w:val="TableTextStocktake"/>
              <w:jc w:val="right"/>
            </w:pPr>
            <w:r w:rsidRPr="00BC5284">
              <w:t>127,883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493935" w14:textId="77777777" w:rsidR="00BC5284" w:rsidRPr="00BC5284" w:rsidRDefault="00BC5284">
            <w:pPr>
              <w:pStyle w:val="TableTextStocktake"/>
              <w:jc w:val="right"/>
            </w:pPr>
            <w:r w:rsidRPr="00BC5284">
              <w:t>23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24AAE0" w14:textId="77777777" w:rsidR="00BC5284" w:rsidRPr="00BC5284" w:rsidRDefault="00BC5284">
            <w:pPr>
              <w:pStyle w:val="TableTextStocktake"/>
              <w:jc w:val="right"/>
            </w:pPr>
            <w:r w:rsidRPr="00BC5284">
              <w:t>333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BC40B2" w14:textId="77777777" w:rsidR="00BC5284" w:rsidRPr="00BC5284" w:rsidRDefault="00BC5284">
            <w:pPr>
              <w:pStyle w:val="TableTextStocktake"/>
              <w:jc w:val="right"/>
            </w:pPr>
            <w:r w:rsidRPr="00BC5284">
              <w:t>356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0AC71A" w14:textId="77777777" w:rsidR="00BC5284" w:rsidRPr="00BC5284" w:rsidRDefault="00BC5284">
            <w:pPr>
              <w:pStyle w:val="TableTextStocktake"/>
              <w:jc w:val="right"/>
            </w:pPr>
            <w:r w:rsidRPr="00BC5284">
              <w:t>39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851380" w14:textId="77777777" w:rsidR="00BC5284" w:rsidRPr="00BC5284" w:rsidRDefault="00BC5284">
            <w:pPr>
              <w:pStyle w:val="TableTextStocktake"/>
              <w:jc w:val="right"/>
            </w:pPr>
            <w:r w:rsidRPr="00BC5284">
              <w:t>395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49F448" w14:textId="77777777" w:rsidR="00BC5284" w:rsidRPr="00BC5284" w:rsidRDefault="00BC5284">
            <w:pPr>
              <w:pStyle w:val="TableTextStocktake"/>
              <w:jc w:val="right"/>
            </w:pPr>
            <w:r w:rsidRPr="00BC5284">
              <w:t>4,312</w:t>
            </w:r>
          </w:p>
        </w:tc>
      </w:tr>
      <w:tr w:rsidR="00BC5284" w:rsidRPr="00BC5284" w14:paraId="33805EC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A4FFF7" w14:textId="77777777" w:rsidR="00BC5284" w:rsidRPr="00BC5284" w:rsidRDefault="00BC5284">
            <w:pPr>
              <w:pStyle w:val="TableTextStocktake"/>
            </w:pPr>
            <w:r w:rsidRPr="00BC5284">
              <w:t>Moreland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FC8DB0"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D43C3A" w14:textId="77777777" w:rsidR="00BC5284" w:rsidRPr="00BC5284" w:rsidRDefault="00BC5284">
            <w:pPr>
              <w:pStyle w:val="TableTextStocktake"/>
              <w:jc w:val="right"/>
            </w:pPr>
            <w:r w:rsidRPr="00BC5284">
              <w:t>51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176C1D" w14:textId="77777777" w:rsidR="00BC5284" w:rsidRPr="00BC5284" w:rsidRDefault="00BC5284">
            <w:pPr>
              <w:pStyle w:val="TableTextStocktake"/>
              <w:jc w:val="right"/>
            </w:pPr>
            <w:r w:rsidRPr="00BC5284">
              <w:t>181,725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9B75B8" w14:textId="77777777" w:rsidR="00BC5284" w:rsidRPr="00BC5284" w:rsidRDefault="00BC5284">
            <w:pPr>
              <w:pStyle w:val="TableTextStocktake"/>
              <w:jc w:val="right"/>
            </w:pPr>
            <w:r w:rsidRPr="00BC5284">
              <w:t>37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FFDDDF" w14:textId="77777777" w:rsidR="00BC5284" w:rsidRPr="00BC5284" w:rsidRDefault="00BC5284">
            <w:pPr>
              <w:pStyle w:val="TableTextStocktake"/>
              <w:jc w:val="right"/>
            </w:pPr>
            <w:r w:rsidRPr="00BC5284">
              <w:t>379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9EF9F88" w14:textId="77777777" w:rsidR="00BC5284" w:rsidRPr="00BC5284" w:rsidRDefault="00BC5284">
            <w:pPr>
              <w:pStyle w:val="TableTextStocktake"/>
              <w:jc w:val="right"/>
            </w:pPr>
            <w:r w:rsidRPr="00BC5284">
              <w:t>416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C81759" w14:textId="77777777" w:rsidR="00BC5284" w:rsidRPr="00BC5284" w:rsidRDefault="00BC5284">
            <w:pPr>
              <w:pStyle w:val="TableTextStocktake"/>
              <w:jc w:val="right"/>
            </w:pPr>
            <w:r w:rsidRPr="00BC5284">
              <w:t>83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347D3D" w14:textId="77777777" w:rsidR="00BC5284" w:rsidRPr="00BC5284" w:rsidRDefault="00BC5284">
            <w:pPr>
              <w:pStyle w:val="TableTextStocktake"/>
              <w:jc w:val="right"/>
            </w:pPr>
            <w:r w:rsidRPr="00BC5284">
              <w:t>499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B540B6" w14:textId="77777777" w:rsidR="00BC5284" w:rsidRPr="00BC5284" w:rsidRDefault="00BC5284">
            <w:pPr>
              <w:pStyle w:val="TableTextStocktake"/>
              <w:jc w:val="right"/>
            </w:pPr>
            <w:r w:rsidRPr="00BC5284">
              <w:t>8,667</w:t>
            </w:r>
          </w:p>
        </w:tc>
      </w:tr>
      <w:tr w:rsidR="00BC5284" w:rsidRPr="00BC5284" w14:paraId="3FC77885"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EC00DBE" w14:textId="77777777" w:rsidR="00BC5284" w:rsidRPr="00BC5284" w:rsidRDefault="00BC5284">
            <w:pPr>
              <w:pStyle w:val="TableTextStocktake"/>
            </w:pPr>
            <w:r w:rsidRPr="00BC5284">
              <w:t>Whitehorse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8DC26FD" w14:textId="77777777" w:rsidR="00BC5284" w:rsidRPr="00BC5284" w:rsidRDefault="00BC5284">
            <w:pPr>
              <w:pStyle w:val="TableTextStocktake"/>
            </w:pPr>
            <w:r w:rsidRPr="00BC5284">
              <w:t>Metro Middle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0D08025" w14:textId="77777777" w:rsidR="00BC5284" w:rsidRPr="00BC5284" w:rsidRDefault="00BC5284">
            <w:pPr>
              <w:pStyle w:val="TableTextStocktake"/>
              <w:jc w:val="right"/>
            </w:pPr>
            <w:r w:rsidRPr="00BC5284">
              <w:t>64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9D0C2D0" w14:textId="77777777" w:rsidR="00BC5284" w:rsidRPr="00BC5284" w:rsidRDefault="00BC5284">
            <w:pPr>
              <w:pStyle w:val="TableTextStocktake"/>
              <w:jc w:val="right"/>
            </w:pPr>
            <w:r w:rsidRPr="00BC5284">
              <w:t>176,196</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8CE8852" w14:textId="77777777" w:rsidR="00BC5284" w:rsidRPr="00BC5284" w:rsidRDefault="00BC5284">
            <w:pPr>
              <w:pStyle w:val="TableTextStocktake"/>
              <w:jc w:val="right"/>
            </w:pPr>
            <w:r w:rsidRPr="00BC5284">
              <w:t>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6508029" w14:textId="77777777" w:rsidR="00BC5284" w:rsidRPr="00BC5284" w:rsidRDefault="00BC5284">
            <w:pPr>
              <w:pStyle w:val="TableTextStocktake"/>
              <w:jc w:val="right"/>
            </w:pPr>
            <w:r w:rsidRPr="00BC5284">
              <w:t>256</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951A4F3" w14:textId="77777777" w:rsidR="00BC5284" w:rsidRPr="00BC5284" w:rsidRDefault="00BC5284">
            <w:pPr>
              <w:pStyle w:val="TableTextStocktake"/>
              <w:jc w:val="right"/>
            </w:pPr>
            <w:r w:rsidRPr="00BC5284">
              <w:t>264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C31C204" w14:textId="77777777" w:rsidR="00BC5284" w:rsidRPr="00BC5284" w:rsidRDefault="00BC5284">
            <w:pPr>
              <w:pStyle w:val="TableTextStocktake"/>
              <w:jc w:val="right"/>
            </w:pPr>
            <w:r w:rsidRPr="00BC5284">
              <w:t>15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BECCEB8" w14:textId="77777777" w:rsidR="00BC5284" w:rsidRPr="00BC5284" w:rsidRDefault="00BC5284">
            <w:pPr>
              <w:pStyle w:val="TableTextStocktake"/>
              <w:jc w:val="right"/>
            </w:pPr>
            <w:r w:rsidRPr="00BC5284">
              <w:t>279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6C35CAE" w14:textId="77777777" w:rsidR="00BC5284" w:rsidRPr="00BC5284" w:rsidRDefault="00BC5284">
            <w:pPr>
              <w:pStyle w:val="TableTextStocktake"/>
              <w:jc w:val="right"/>
            </w:pPr>
            <w:r w:rsidRPr="00BC5284">
              <w:t>1,263</w:t>
            </w:r>
          </w:p>
        </w:tc>
      </w:tr>
      <w:tr w:rsidR="00BC5284" w:rsidRPr="00BC5284" w14:paraId="36574A3A" w14:textId="77777777" w:rsidTr="00125A6D">
        <w:trPr>
          <w:trHeight w:val="60"/>
        </w:trPr>
        <w:tc>
          <w:tcPr>
            <w:tcW w:w="250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62676327"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3353AB08"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BD51FE8" w14:textId="77777777" w:rsidR="00BC5284" w:rsidRPr="00BC5284" w:rsidRDefault="00BC5284">
            <w:pPr>
              <w:pStyle w:val="TableTextStocktake"/>
              <w:jc w:val="right"/>
            </w:pPr>
            <w:r w:rsidRPr="00BC5284">
              <w:rPr>
                <w:rFonts w:ascii="FreightSans Pro Bold" w:hAnsi="FreightSans Pro Bold" w:cs="FreightSans Pro Bold"/>
                <w:b/>
                <w:bCs/>
              </w:rPr>
              <w:t>1,214</w:t>
            </w:r>
          </w:p>
        </w:tc>
        <w:tc>
          <w:tcPr>
            <w:tcW w:w="9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A35E47E" w14:textId="77777777" w:rsidR="00BC5284" w:rsidRPr="00BC5284" w:rsidRDefault="00BC5284">
            <w:pPr>
              <w:pStyle w:val="TableTextStocktake"/>
              <w:jc w:val="right"/>
            </w:pPr>
            <w:r w:rsidRPr="00BC5284">
              <w:rPr>
                <w:rFonts w:ascii="FreightSans Pro Bold" w:hAnsi="FreightSans Pro Bold" w:cs="FreightSans Pro Bold"/>
                <w:b/>
                <w:bCs/>
              </w:rPr>
              <w:t>2,251,877</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08B8E1C" w14:textId="77777777" w:rsidR="00BC5284" w:rsidRPr="00BC5284" w:rsidRDefault="00BC5284">
            <w:pPr>
              <w:pStyle w:val="TableTextStocktake"/>
              <w:jc w:val="right"/>
            </w:pPr>
            <w:r w:rsidRPr="00BC5284">
              <w:rPr>
                <w:rFonts w:ascii="FreightSans Pro Bold" w:hAnsi="FreightSans Pro Bold" w:cs="FreightSans Pro Bold"/>
                <w:b/>
                <w:bCs/>
              </w:rPr>
              <w:t>194</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4D7CE4B" w14:textId="77777777" w:rsidR="00BC5284" w:rsidRPr="00BC5284" w:rsidRDefault="00BC5284">
            <w:pPr>
              <w:pStyle w:val="TableTextStocktake"/>
              <w:jc w:val="right"/>
            </w:pPr>
            <w:r w:rsidRPr="00BC5284">
              <w:rPr>
                <w:rFonts w:ascii="FreightSans Pro Bold" w:hAnsi="FreightSans Pro Bold" w:cs="FreightSans Pro Bold"/>
                <w:b/>
                <w:bCs/>
              </w:rPr>
              <w:t>2,577</w:t>
            </w:r>
          </w:p>
        </w:tc>
        <w:tc>
          <w:tcPr>
            <w:tcW w:w="70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611F27B" w14:textId="77777777" w:rsidR="00BC5284" w:rsidRPr="00BC5284" w:rsidRDefault="00BC5284">
            <w:pPr>
              <w:pStyle w:val="TableTextStocktake"/>
              <w:jc w:val="right"/>
            </w:pPr>
            <w:r w:rsidRPr="00BC5284">
              <w:rPr>
                <w:rFonts w:ascii="FreightSans Pro Bold" w:hAnsi="FreightSans Pro Bold" w:cs="FreightSans Pro Bold"/>
                <w:b/>
                <w:bCs/>
              </w:rPr>
              <w:t>2,771</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9902D5B" w14:textId="77777777" w:rsidR="00BC5284" w:rsidRPr="00BC5284" w:rsidRDefault="00BC5284">
            <w:pPr>
              <w:pStyle w:val="TableTextStocktake"/>
              <w:jc w:val="right"/>
            </w:pPr>
            <w:r w:rsidRPr="00BC5284">
              <w:rPr>
                <w:rFonts w:ascii="FreightSans Pro Bold" w:hAnsi="FreightSans Pro Bold" w:cs="FreightSans Pro Bold"/>
                <w:b/>
                <w:bCs/>
              </w:rPr>
              <w:t>264</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B28B946" w14:textId="77777777" w:rsidR="00BC5284" w:rsidRPr="00BC5284" w:rsidRDefault="00BC5284">
            <w:pPr>
              <w:pStyle w:val="TableTextStocktake"/>
              <w:jc w:val="right"/>
            </w:pPr>
            <w:r w:rsidRPr="00BC5284">
              <w:rPr>
                <w:rFonts w:ascii="FreightSans Pro Bold" w:hAnsi="FreightSans Pro Bold" w:cs="FreightSans Pro Bold"/>
                <w:b/>
                <w:bCs/>
              </w:rPr>
              <w:t>3,035</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4589BA1" w14:textId="77777777" w:rsidR="00BC5284" w:rsidRPr="00BC5284" w:rsidRDefault="00BC5284">
            <w:pPr>
              <w:pStyle w:val="TableTextStocktake"/>
              <w:jc w:val="right"/>
            </w:pPr>
            <w:r w:rsidRPr="00BC5284">
              <w:rPr>
                <w:rFonts w:ascii="FreightSans Pro Bold" w:hAnsi="FreightSans Pro Bold" w:cs="FreightSans Pro Bold"/>
                <w:b/>
                <w:bCs/>
              </w:rPr>
              <w:t>37,069</w:t>
            </w:r>
          </w:p>
        </w:tc>
      </w:tr>
      <w:tr w:rsidR="00BC5284" w:rsidRPr="00BC5284" w14:paraId="2EBF384D" w14:textId="77777777" w:rsidTr="00125A6D">
        <w:trPr>
          <w:trHeight w:val="60"/>
        </w:trPr>
        <w:tc>
          <w:tcPr>
            <w:tcW w:w="250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DC76BA3" w14:textId="77777777" w:rsidR="00BC5284" w:rsidRPr="00BC5284" w:rsidRDefault="00BC5284">
            <w:pPr>
              <w:pStyle w:val="TableTextStocktake"/>
            </w:pPr>
            <w:r w:rsidRPr="00BC5284">
              <w:t>Cardinia (S)</w:t>
            </w:r>
          </w:p>
        </w:tc>
        <w:tc>
          <w:tcPr>
            <w:tcW w:w="211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6791A83" w14:textId="77777777" w:rsidR="00BC5284" w:rsidRPr="00BC5284" w:rsidRDefault="00BC5284">
            <w:pPr>
              <w:pStyle w:val="TableTextStocktake"/>
            </w:pPr>
            <w:r w:rsidRPr="00BC5284">
              <w:t>Metro Outer</w:t>
            </w:r>
          </w:p>
        </w:tc>
        <w:tc>
          <w:tcPr>
            <w:tcW w:w="65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EFB0CAD" w14:textId="77777777" w:rsidR="00BC5284" w:rsidRPr="00BC5284" w:rsidRDefault="00BC5284">
            <w:pPr>
              <w:pStyle w:val="TableTextStocktake"/>
              <w:jc w:val="right"/>
            </w:pPr>
            <w:r w:rsidRPr="00BC5284">
              <w:t>1,283</w:t>
            </w:r>
          </w:p>
        </w:tc>
        <w:tc>
          <w:tcPr>
            <w:tcW w:w="9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02210B5" w14:textId="77777777" w:rsidR="00BC5284" w:rsidRPr="00BC5284" w:rsidRDefault="00BC5284">
            <w:pPr>
              <w:pStyle w:val="TableTextStocktake"/>
              <w:jc w:val="right"/>
            </w:pPr>
            <w:r w:rsidRPr="00BC5284">
              <w:t>107,120</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5E7AAA6" w14:textId="77777777" w:rsidR="00BC5284" w:rsidRPr="00BC5284" w:rsidRDefault="00BC5284">
            <w:pPr>
              <w:pStyle w:val="TableTextStocktake"/>
              <w:jc w:val="right"/>
            </w:pPr>
            <w:r w:rsidRPr="00BC5284">
              <w:t>7</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38A734E" w14:textId="77777777" w:rsidR="00BC5284" w:rsidRPr="00BC5284" w:rsidRDefault="00BC5284">
            <w:pPr>
              <w:pStyle w:val="TableTextStocktake"/>
              <w:jc w:val="right"/>
            </w:pPr>
            <w:r w:rsidRPr="00BC5284">
              <w:t>235</w:t>
            </w:r>
          </w:p>
        </w:tc>
        <w:tc>
          <w:tcPr>
            <w:tcW w:w="70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176385F" w14:textId="77777777" w:rsidR="00BC5284" w:rsidRPr="00BC5284" w:rsidRDefault="00BC5284">
            <w:pPr>
              <w:pStyle w:val="TableTextStocktake"/>
              <w:jc w:val="right"/>
            </w:pPr>
            <w:r w:rsidRPr="00BC5284">
              <w:t>242</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F5D87D4" w14:textId="77777777" w:rsidR="00BC5284" w:rsidRPr="00BC5284" w:rsidRDefault="00BC5284">
            <w:pPr>
              <w:pStyle w:val="TableTextStocktake"/>
              <w:jc w:val="right"/>
            </w:pPr>
            <w:r w:rsidRPr="00BC5284">
              <w:t>18</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2309866" w14:textId="77777777" w:rsidR="00BC5284" w:rsidRPr="00BC5284" w:rsidRDefault="00BC5284">
            <w:pPr>
              <w:pStyle w:val="TableTextStocktake"/>
              <w:jc w:val="right"/>
            </w:pPr>
            <w:r w:rsidRPr="00BC5284">
              <w:t>260</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D53465C" w14:textId="77777777" w:rsidR="00BC5284" w:rsidRPr="00BC5284" w:rsidRDefault="00BC5284">
            <w:pPr>
              <w:pStyle w:val="TableTextStocktake"/>
              <w:jc w:val="right"/>
            </w:pPr>
            <w:r w:rsidRPr="00BC5284">
              <w:t>809</w:t>
            </w:r>
          </w:p>
        </w:tc>
      </w:tr>
      <w:tr w:rsidR="00BC5284" w:rsidRPr="00BC5284" w14:paraId="6088A4E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DFA5A1" w14:textId="77777777" w:rsidR="00BC5284" w:rsidRPr="00BC5284" w:rsidRDefault="00BC5284">
            <w:pPr>
              <w:pStyle w:val="TableTextStocktake"/>
            </w:pPr>
            <w:r w:rsidRPr="00BC5284">
              <w:t>Casey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E21284"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ED23B4" w14:textId="77777777" w:rsidR="00BC5284" w:rsidRPr="00BC5284" w:rsidRDefault="00BC5284">
            <w:pPr>
              <w:pStyle w:val="TableTextStocktake"/>
              <w:jc w:val="right"/>
            </w:pPr>
            <w:r w:rsidRPr="00BC5284">
              <w:t>409</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7F6A63" w14:textId="77777777" w:rsidR="00BC5284" w:rsidRPr="00BC5284" w:rsidRDefault="00BC5284">
            <w:pPr>
              <w:pStyle w:val="TableTextStocktake"/>
              <w:jc w:val="right"/>
            </w:pPr>
            <w:r w:rsidRPr="00BC5284">
              <w:t>340,419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212211"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24D8AA" w14:textId="77777777" w:rsidR="00BC5284" w:rsidRPr="00BC5284" w:rsidRDefault="00BC5284">
            <w:pPr>
              <w:pStyle w:val="TableTextStocktake"/>
              <w:jc w:val="right"/>
            </w:pPr>
            <w:r w:rsidRPr="00BC5284">
              <w:t>181</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98E093" w14:textId="77777777" w:rsidR="00BC5284" w:rsidRPr="00BC5284" w:rsidRDefault="00BC5284">
            <w:pPr>
              <w:pStyle w:val="TableTextStocktake"/>
              <w:jc w:val="right"/>
            </w:pPr>
            <w:r w:rsidRPr="00BC5284">
              <w:t>184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EC5A0B"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472E63" w14:textId="77777777" w:rsidR="00BC5284" w:rsidRPr="00BC5284" w:rsidRDefault="00BC5284">
            <w:pPr>
              <w:pStyle w:val="TableTextStocktake"/>
              <w:jc w:val="right"/>
            </w:pPr>
            <w:r w:rsidRPr="00BC5284">
              <w:t>187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CB765C" w14:textId="77777777" w:rsidR="00BC5284" w:rsidRPr="00BC5284" w:rsidRDefault="00BC5284">
            <w:pPr>
              <w:pStyle w:val="TableTextStocktake"/>
              <w:jc w:val="right"/>
            </w:pPr>
            <w:r w:rsidRPr="00BC5284">
              <w:t>513</w:t>
            </w:r>
          </w:p>
        </w:tc>
      </w:tr>
      <w:tr w:rsidR="00BC5284" w:rsidRPr="00BC5284" w14:paraId="66F2B421"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2BFB73" w14:textId="77777777" w:rsidR="00BC5284" w:rsidRPr="00BC5284" w:rsidRDefault="00BC5284">
            <w:pPr>
              <w:pStyle w:val="TableTextStocktake"/>
            </w:pPr>
            <w:r w:rsidRPr="00BC5284">
              <w:t>Hume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5A6570"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F23A80" w14:textId="77777777" w:rsidR="00BC5284" w:rsidRPr="00BC5284" w:rsidRDefault="00BC5284">
            <w:pPr>
              <w:pStyle w:val="TableTextStocktake"/>
              <w:jc w:val="right"/>
            </w:pPr>
            <w:r w:rsidRPr="00BC5284">
              <w:t>504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BB1EE9" w14:textId="77777777" w:rsidR="00BC5284" w:rsidRPr="00BC5284" w:rsidRDefault="00BC5284">
            <w:pPr>
              <w:pStyle w:val="TableTextStocktake"/>
              <w:jc w:val="right"/>
            </w:pPr>
            <w:r w:rsidRPr="00BC5284">
              <w:t>224,394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9DA563" w14:textId="77777777" w:rsidR="00BC5284" w:rsidRPr="00BC5284" w:rsidRDefault="00BC5284">
            <w:pPr>
              <w:pStyle w:val="TableTextStocktake"/>
              <w:jc w:val="right"/>
            </w:pPr>
            <w:r w:rsidRPr="00BC5284">
              <w:t>18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DEB183" w14:textId="77777777" w:rsidR="00BC5284" w:rsidRPr="00BC5284" w:rsidRDefault="00BC5284">
            <w:pPr>
              <w:pStyle w:val="TableTextStocktake"/>
              <w:jc w:val="right"/>
            </w:pPr>
            <w:r w:rsidRPr="00BC5284">
              <w:t>177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4CD3AB" w14:textId="77777777" w:rsidR="00BC5284" w:rsidRPr="00BC5284" w:rsidRDefault="00BC5284">
            <w:pPr>
              <w:pStyle w:val="TableTextStocktake"/>
              <w:jc w:val="right"/>
            </w:pPr>
            <w:r w:rsidRPr="00BC5284">
              <w:t>195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61224E"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6E0CB5" w14:textId="77777777" w:rsidR="00BC5284" w:rsidRPr="00BC5284" w:rsidRDefault="00BC5284">
            <w:pPr>
              <w:pStyle w:val="TableTextStocktake"/>
              <w:jc w:val="right"/>
            </w:pPr>
            <w:r w:rsidRPr="00BC5284">
              <w:t>196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EA7E0E" w14:textId="77777777" w:rsidR="00BC5284" w:rsidRPr="00BC5284" w:rsidRDefault="00BC5284">
            <w:pPr>
              <w:pStyle w:val="TableTextStocktake"/>
              <w:jc w:val="right"/>
            </w:pPr>
            <w:r w:rsidRPr="00BC5284">
              <w:t>400</w:t>
            </w:r>
          </w:p>
        </w:tc>
      </w:tr>
      <w:tr w:rsidR="00BC5284" w:rsidRPr="00BC5284" w14:paraId="14EC861E"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F5360D" w14:textId="77777777" w:rsidR="00BC5284" w:rsidRPr="00BC5284" w:rsidRDefault="00BC5284">
            <w:pPr>
              <w:pStyle w:val="TableTextStocktake"/>
            </w:pPr>
            <w:r w:rsidRPr="00BC5284">
              <w:t>Melton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273EF4"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A6F341" w14:textId="77777777" w:rsidR="00BC5284" w:rsidRPr="00BC5284" w:rsidRDefault="00BC5284">
            <w:pPr>
              <w:pStyle w:val="TableTextStocktake"/>
              <w:jc w:val="right"/>
            </w:pPr>
            <w:r w:rsidRPr="00BC5284">
              <w:t>528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CECB91" w14:textId="77777777" w:rsidR="00BC5284" w:rsidRPr="00BC5284" w:rsidRDefault="00BC5284">
            <w:pPr>
              <w:pStyle w:val="TableTextStocktake"/>
              <w:jc w:val="right"/>
            </w:pPr>
            <w:r w:rsidRPr="00BC5284">
              <w:t>156,713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647A67"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B89DA8" w14:textId="77777777" w:rsidR="00BC5284" w:rsidRPr="00BC5284" w:rsidRDefault="00BC5284">
            <w:pPr>
              <w:pStyle w:val="TableTextStocktake"/>
              <w:jc w:val="right"/>
            </w:pPr>
            <w:r w:rsidRPr="00BC5284">
              <w:t>113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850082" w14:textId="77777777" w:rsidR="00BC5284" w:rsidRPr="00BC5284" w:rsidRDefault="00BC5284">
            <w:pPr>
              <w:pStyle w:val="TableTextStocktake"/>
              <w:jc w:val="right"/>
            </w:pPr>
            <w:r w:rsidRPr="00BC5284">
              <w:t>123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716A32" w14:textId="77777777" w:rsidR="00BC5284" w:rsidRPr="00BC5284" w:rsidRDefault="00BC5284">
            <w:pPr>
              <w:pStyle w:val="TableTextStocktake"/>
              <w:jc w:val="right"/>
            </w:pPr>
            <w:r w:rsidRPr="00BC5284">
              <w:t>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03DA62" w14:textId="77777777" w:rsidR="00BC5284" w:rsidRPr="00BC5284" w:rsidRDefault="00BC5284">
            <w:pPr>
              <w:pStyle w:val="TableTextStocktake"/>
              <w:jc w:val="right"/>
            </w:pPr>
            <w:r w:rsidRPr="00BC5284">
              <w:t>128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DD8963" w14:textId="77777777" w:rsidR="00BC5284" w:rsidRPr="00BC5284" w:rsidRDefault="00BC5284">
            <w:pPr>
              <w:pStyle w:val="TableTextStocktake"/>
              <w:jc w:val="right"/>
            </w:pPr>
            <w:r w:rsidRPr="00BC5284">
              <w:t>426</w:t>
            </w:r>
          </w:p>
        </w:tc>
      </w:tr>
      <w:tr w:rsidR="00BC5284" w:rsidRPr="00BC5284" w14:paraId="511A3836"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E1D6C8" w14:textId="77777777" w:rsidR="00BC5284" w:rsidRPr="00BC5284" w:rsidRDefault="00BC5284">
            <w:pPr>
              <w:pStyle w:val="TableTextStocktake"/>
            </w:pPr>
            <w:r w:rsidRPr="00BC5284">
              <w:t>Mornington Peninsula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F9A51B"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3FA63F" w14:textId="77777777" w:rsidR="00BC5284" w:rsidRPr="00BC5284" w:rsidRDefault="00BC5284">
            <w:pPr>
              <w:pStyle w:val="TableTextStocktake"/>
              <w:jc w:val="right"/>
            </w:pPr>
            <w:r w:rsidRPr="00BC5284">
              <w:t>724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D98386" w14:textId="77777777" w:rsidR="00BC5284" w:rsidRPr="00BC5284" w:rsidRDefault="00BC5284">
            <w:pPr>
              <w:pStyle w:val="TableTextStocktake"/>
              <w:jc w:val="right"/>
            </w:pPr>
            <w:r w:rsidRPr="00BC5284">
              <w:t>165,822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9784D7" w14:textId="77777777" w:rsidR="00BC5284" w:rsidRPr="00BC5284" w:rsidRDefault="00BC5284">
            <w:pPr>
              <w:pStyle w:val="TableTextStocktake"/>
              <w:jc w:val="right"/>
            </w:pPr>
            <w:r w:rsidRPr="00BC5284">
              <w:t>46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D03227" w14:textId="77777777" w:rsidR="00BC5284" w:rsidRPr="00BC5284" w:rsidRDefault="00BC5284">
            <w:pPr>
              <w:pStyle w:val="TableTextStocktake"/>
              <w:jc w:val="right"/>
            </w:pPr>
            <w:r w:rsidRPr="00BC5284">
              <w:t>375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20DA5B" w14:textId="77777777" w:rsidR="00BC5284" w:rsidRPr="00BC5284" w:rsidRDefault="00BC5284">
            <w:pPr>
              <w:pStyle w:val="TableTextStocktake"/>
              <w:jc w:val="right"/>
            </w:pPr>
            <w:r w:rsidRPr="00BC5284">
              <w:t>421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65CD3F"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7FAADA" w14:textId="77777777" w:rsidR="00BC5284" w:rsidRPr="00BC5284" w:rsidRDefault="00BC5284">
            <w:pPr>
              <w:pStyle w:val="TableTextStocktake"/>
              <w:jc w:val="right"/>
            </w:pPr>
            <w:r w:rsidRPr="00BC5284">
              <w:t>433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CA332D" w14:textId="77777777" w:rsidR="00BC5284" w:rsidRPr="00BC5284" w:rsidRDefault="00BC5284">
            <w:pPr>
              <w:pStyle w:val="TableTextStocktake"/>
              <w:jc w:val="right"/>
            </w:pPr>
            <w:r w:rsidRPr="00BC5284">
              <w:t>1,678</w:t>
            </w:r>
          </w:p>
        </w:tc>
      </w:tr>
      <w:tr w:rsidR="00BC5284" w:rsidRPr="00BC5284" w14:paraId="5327B34C"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EB5AFD" w14:textId="77777777" w:rsidR="00BC5284" w:rsidRPr="00BC5284" w:rsidRDefault="00BC5284">
            <w:pPr>
              <w:pStyle w:val="TableTextStocktake"/>
            </w:pPr>
            <w:r w:rsidRPr="00BC5284">
              <w:t>Nillumbik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0E80E9"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746528" w14:textId="77777777" w:rsidR="00BC5284" w:rsidRPr="00BC5284" w:rsidRDefault="00BC5284">
            <w:pPr>
              <w:pStyle w:val="TableTextStocktake"/>
              <w:jc w:val="right"/>
            </w:pPr>
            <w:r w:rsidRPr="00BC5284">
              <w:t>432</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596256" w14:textId="77777777" w:rsidR="00BC5284" w:rsidRPr="00BC5284" w:rsidRDefault="00BC5284">
            <w:pPr>
              <w:pStyle w:val="TableTextStocktake"/>
              <w:jc w:val="right"/>
            </w:pPr>
            <w:r w:rsidRPr="00BC5284">
              <w:t>64,941</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1E3691"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200A6F" w14:textId="77777777" w:rsidR="00BC5284" w:rsidRPr="00BC5284" w:rsidRDefault="00BC5284">
            <w:pPr>
              <w:pStyle w:val="TableTextStocktake"/>
              <w:jc w:val="right"/>
            </w:pPr>
            <w:r w:rsidRPr="00BC5284">
              <w:t>245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3CF730" w14:textId="77777777" w:rsidR="00BC5284" w:rsidRPr="00BC5284" w:rsidRDefault="00BC5284">
            <w:pPr>
              <w:pStyle w:val="TableTextStocktake"/>
              <w:jc w:val="right"/>
            </w:pPr>
            <w:r w:rsidRPr="00BC5284">
              <w:t>252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E3CD6F"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4CE727" w14:textId="77777777" w:rsidR="00BC5284" w:rsidRPr="00BC5284" w:rsidRDefault="00BC5284">
            <w:pPr>
              <w:pStyle w:val="TableTextStocktake"/>
              <w:jc w:val="right"/>
            </w:pPr>
            <w:r w:rsidRPr="00BC5284">
              <w:t>252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4C961D" w14:textId="77777777" w:rsidR="00BC5284" w:rsidRPr="00BC5284" w:rsidRDefault="00BC5284">
            <w:pPr>
              <w:pStyle w:val="TableTextStocktake"/>
              <w:jc w:val="right"/>
            </w:pPr>
            <w:r w:rsidRPr="00BC5284">
              <w:t>435</w:t>
            </w:r>
          </w:p>
        </w:tc>
      </w:tr>
      <w:tr w:rsidR="00BC5284" w:rsidRPr="00BC5284" w14:paraId="755C4EB1"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163F81" w14:textId="77777777" w:rsidR="00BC5284" w:rsidRPr="00BC5284" w:rsidRDefault="00BC5284">
            <w:pPr>
              <w:pStyle w:val="TableTextStocktake"/>
            </w:pPr>
            <w:r w:rsidRPr="00BC5284">
              <w:t>Whittlesea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8F09FC"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7EE562" w14:textId="77777777" w:rsidR="00BC5284" w:rsidRPr="00BC5284" w:rsidRDefault="00BC5284">
            <w:pPr>
              <w:pStyle w:val="TableTextStocktake"/>
              <w:jc w:val="right"/>
            </w:pPr>
            <w:r w:rsidRPr="00BC5284">
              <w:t>490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32BC77" w14:textId="77777777" w:rsidR="00BC5284" w:rsidRPr="00BC5284" w:rsidRDefault="00BC5284">
            <w:pPr>
              <w:pStyle w:val="TableTextStocktake"/>
              <w:jc w:val="right"/>
            </w:pPr>
            <w:r w:rsidRPr="00BC5284">
              <w:t>223,322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74EF3B"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0A87A4" w14:textId="77777777" w:rsidR="00BC5284" w:rsidRPr="00BC5284" w:rsidRDefault="00BC5284">
            <w:pPr>
              <w:pStyle w:val="TableTextStocktake"/>
              <w:jc w:val="right"/>
            </w:pPr>
            <w:r w:rsidRPr="00BC5284">
              <w:t>152</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029D48" w14:textId="77777777" w:rsidR="00BC5284" w:rsidRPr="00BC5284" w:rsidRDefault="00BC5284">
            <w:pPr>
              <w:pStyle w:val="TableTextStocktake"/>
              <w:jc w:val="right"/>
            </w:pPr>
            <w:r w:rsidRPr="00BC5284">
              <w:t>163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58B2FD" w14:textId="77777777" w:rsidR="00BC5284" w:rsidRPr="00BC5284" w:rsidRDefault="00BC5284">
            <w:pPr>
              <w:pStyle w:val="TableTextStocktake"/>
              <w:jc w:val="right"/>
            </w:pPr>
            <w:r w:rsidRPr="00BC5284">
              <w:t>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D77A0A" w14:textId="77777777" w:rsidR="00BC5284" w:rsidRPr="00BC5284" w:rsidRDefault="00BC5284">
            <w:pPr>
              <w:pStyle w:val="TableTextStocktake"/>
              <w:jc w:val="right"/>
            </w:pPr>
            <w:r w:rsidRPr="00BC5284">
              <w:t>165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719B36" w14:textId="77777777" w:rsidR="00BC5284" w:rsidRPr="00BC5284" w:rsidRDefault="00BC5284">
            <w:pPr>
              <w:pStyle w:val="TableTextStocktake"/>
              <w:jc w:val="right"/>
            </w:pPr>
            <w:r w:rsidRPr="00BC5284">
              <w:t>287</w:t>
            </w:r>
          </w:p>
        </w:tc>
      </w:tr>
      <w:tr w:rsidR="00BC5284" w:rsidRPr="00BC5284" w14:paraId="7EBA4356"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43C19A" w14:textId="77777777" w:rsidR="00BC5284" w:rsidRPr="00BC5284" w:rsidRDefault="00BC5284">
            <w:pPr>
              <w:pStyle w:val="TableTextStocktake"/>
            </w:pPr>
            <w:r w:rsidRPr="00BC5284">
              <w:t>Wyndham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6720F6"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686C7C" w14:textId="77777777" w:rsidR="00BC5284" w:rsidRPr="00BC5284" w:rsidRDefault="00BC5284">
            <w:pPr>
              <w:pStyle w:val="TableTextStocktake"/>
              <w:jc w:val="right"/>
            </w:pPr>
            <w:r w:rsidRPr="00BC5284">
              <w:t>542</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16B933" w14:textId="77777777" w:rsidR="00BC5284" w:rsidRPr="00BC5284" w:rsidRDefault="00BC5284">
            <w:pPr>
              <w:pStyle w:val="TableTextStocktake"/>
              <w:jc w:val="right"/>
            </w:pPr>
            <w:r w:rsidRPr="00BC5284">
              <w:t>255,322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CB9F6F" w14:textId="77777777" w:rsidR="00BC5284" w:rsidRPr="00BC5284" w:rsidRDefault="00BC5284">
            <w:pPr>
              <w:pStyle w:val="TableTextStocktake"/>
              <w:jc w:val="right"/>
            </w:pPr>
            <w:r w:rsidRPr="00BC5284">
              <w:t>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B05139" w14:textId="77777777" w:rsidR="00BC5284" w:rsidRPr="00BC5284" w:rsidRDefault="00BC5284">
            <w:pPr>
              <w:pStyle w:val="TableTextStocktake"/>
              <w:jc w:val="right"/>
            </w:pPr>
            <w:r w:rsidRPr="00BC5284">
              <w:t>108</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28C0C4" w14:textId="77777777" w:rsidR="00BC5284" w:rsidRPr="00BC5284" w:rsidRDefault="00BC5284">
            <w:pPr>
              <w:pStyle w:val="TableTextStocktake"/>
              <w:jc w:val="right"/>
            </w:pPr>
            <w:r w:rsidRPr="00BC5284">
              <w:t>121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77D681"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6CC84B" w14:textId="77777777" w:rsidR="00BC5284" w:rsidRPr="00BC5284" w:rsidRDefault="00BC5284">
            <w:pPr>
              <w:pStyle w:val="TableTextStocktake"/>
              <w:jc w:val="right"/>
            </w:pPr>
            <w:r w:rsidRPr="00BC5284">
              <w:t>121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4C85EA" w14:textId="77777777" w:rsidR="00BC5284" w:rsidRPr="00BC5284" w:rsidRDefault="00BC5284">
            <w:pPr>
              <w:pStyle w:val="TableTextStocktake"/>
              <w:jc w:val="right"/>
            </w:pPr>
            <w:r w:rsidRPr="00BC5284">
              <w:t>453</w:t>
            </w:r>
          </w:p>
        </w:tc>
      </w:tr>
      <w:tr w:rsidR="00BC5284" w:rsidRPr="00BC5284" w14:paraId="5EB05DD3"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AB63892" w14:textId="77777777" w:rsidR="00BC5284" w:rsidRPr="00BC5284" w:rsidRDefault="00BC5284">
            <w:pPr>
              <w:pStyle w:val="TableTextStocktake"/>
            </w:pPr>
            <w:r w:rsidRPr="00BC5284">
              <w:t>Yarra Ranges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BA51C78" w14:textId="77777777" w:rsidR="00BC5284" w:rsidRPr="00BC5284" w:rsidRDefault="00BC5284">
            <w:pPr>
              <w:pStyle w:val="TableTextStocktake"/>
            </w:pPr>
            <w:r w:rsidRPr="00BC5284">
              <w:t>Metro Outer</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84202DC" w14:textId="77777777" w:rsidR="00BC5284" w:rsidRPr="00BC5284" w:rsidRDefault="00BC5284">
            <w:pPr>
              <w:pStyle w:val="TableTextStocktake"/>
              <w:jc w:val="right"/>
            </w:pPr>
            <w:r w:rsidRPr="00BC5284">
              <w:t>2,468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7746E8A" w14:textId="77777777" w:rsidR="00BC5284" w:rsidRPr="00BC5284" w:rsidRDefault="00BC5284">
            <w:pPr>
              <w:pStyle w:val="TableTextStocktake"/>
              <w:jc w:val="right"/>
            </w:pPr>
            <w:r w:rsidRPr="00BC5284">
              <w:t>158,173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8C17BF4" w14:textId="77777777" w:rsidR="00BC5284" w:rsidRPr="00BC5284" w:rsidRDefault="00BC5284">
            <w:pPr>
              <w:pStyle w:val="TableTextStocktake"/>
              <w:jc w:val="right"/>
            </w:pPr>
            <w:r w:rsidRPr="00BC5284">
              <w:t>19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1BCEEA0" w14:textId="77777777" w:rsidR="00BC5284" w:rsidRPr="00BC5284" w:rsidRDefault="00BC5284">
            <w:pPr>
              <w:pStyle w:val="TableTextStocktake"/>
              <w:jc w:val="right"/>
            </w:pPr>
            <w:r w:rsidRPr="00BC5284">
              <w:t>370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81B1F54" w14:textId="77777777" w:rsidR="00BC5284" w:rsidRPr="00BC5284" w:rsidRDefault="00BC5284">
            <w:pPr>
              <w:pStyle w:val="TableTextStocktake"/>
              <w:jc w:val="right"/>
            </w:pPr>
            <w:r w:rsidRPr="00BC5284">
              <w:t>389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38DC3FD"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0A4B607" w14:textId="77777777" w:rsidR="00BC5284" w:rsidRPr="00BC5284" w:rsidRDefault="00BC5284">
            <w:pPr>
              <w:pStyle w:val="TableTextStocktake"/>
              <w:jc w:val="right"/>
            </w:pPr>
            <w:r w:rsidRPr="00BC5284">
              <w:t>392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9E7DA59" w14:textId="77777777" w:rsidR="00BC5284" w:rsidRPr="00BC5284" w:rsidRDefault="00BC5284">
            <w:pPr>
              <w:pStyle w:val="TableTextStocktake"/>
              <w:jc w:val="right"/>
            </w:pPr>
            <w:r w:rsidRPr="00BC5284">
              <w:t>925</w:t>
            </w:r>
          </w:p>
        </w:tc>
      </w:tr>
      <w:tr w:rsidR="00BC5284" w:rsidRPr="00BC5284" w14:paraId="6E34CD3F" w14:textId="77777777" w:rsidTr="00125A6D">
        <w:trPr>
          <w:trHeight w:val="60"/>
        </w:trPr>
        <w:tc>
          <w:tcPr>
            <w:tcW w:w="250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2F0C569F"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0763EBFB"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F60A3F9" w14:textId="77777777" w:rsidR="00BC5284" w:rsidRPr="00BC5284" w:rsidRDefault="00BC5284">
            <w:pPr>
              <w:pStyle w:val="TableTextStocktake"/>
              <w:jc w:val="right"/>
            </w:pPr>
            <w:r w:rsidRPr="00BC5284">
              <w:rPr>
                <w:rFonts w:ascii="FreightSans Pro Bold" w:hAnsi="FreightSans Pro Bold" w:cs="FreightSans Pro Bold"/>
                <w:b/>
                <w:bCs/>
              </w:rPr>
              <w:t>7,380</w:t>
            </w:r>
          </w:p>
        </w:tc>
        <w:tc>
          <w:tcPr>
            <w:tcW w:w="9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97F4C3D" w14:textId="77777777" w:rsidR="00BC5284" w:rsidRPr="00BC5284" w:rsidRDefault="00BC5284">
            <w:pPr>
              <w:pStyle w:val="TableTextStocktake"/>
              <w:jc w:val="right"/>
            </w:pPr>
            <w:r w:rsidRPr="00BC5284">
              <w:rPr>
                <w:rFonts w:ascii="FreightSans Pro Bold" w:hAnsi="FreightSans Pro Bold" w:cs="FreightSans Pro Bold"/>
                <w:b/>
                <w:bCs/>
              </w:rPr>
              <w:t>1,696,226</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39CB6A0" w14:textId="77777777" w:rsidR="00BC5284" w:rsidRPr="00BC5284" w:rsidRDefault="00BC5284">
            <w:pPr>
              <w:pStyle w:val="TableTextStocktake"/>
              <w:jc w:val="right"/>
            </w:pPr>
            <w:r w:rsidRPr="00BC5284">
              <w:rPr>
                <w:rFonts w:ascii="FreightSans Pro Bold" w:hAnsi="FreightSans Pro Bold" w:cs="FreightSans Pro Bold"/>
                <w:b/>
                <w:bCs/>
              </w:rPr>
              <w:t>134</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E16D245" w14:textId="77777777" w:rsidR="00BC5284" w:rsidRPr="00BC5284" w:rsidRDefault="00BC5284">
            <w:pPr>
              <w:pStyle w:val="TableTextStocktake"/>
              <w:jc w:val="right"/>
            </w:pPr>
            <w:r w:rsidRPr="00BC5284">
              <w:rPr>
                <w:rFonts w:ascii="FreightSans Pro Bold" w:hAnsi="FreightSans Pro Bold" w:cs="FreightSans Pro Bold"/>
                <w:b/>
                <w:bCs/>
              </w:rPr>
              <w:t>1,956</w:t>
            </w:r>
          </w:p>
        </w:tc>
        <w:tc>
          <w:tcPr>
            <w:tcW w:w="70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C8D791C" w14:textId="77777777" w:rsidR="00BC5284" w:rsidRPr="00BC5284" w:rsidRDefault="00BC5284">
            <w:pPr>
              <w:pStyle w:val="TableTextStocktake"/>
              <w:jc w:val="right"/>
            </w:pPr>
            <w:r w:rsidRPr="00BC5284">
              <w:rPr>
                <w:rFonts w:ascii="FreightSans Pro Bold" w:hAnsi="FreightSans Pro Bold" w:cs="FreightSans Pro Bold"/>
                <w:b/>
                <w:bCs/>
              </w:rPr>
              <w:t>2,090</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A6BEB0F" w14:textId="77777777" w:rsidR="00BC5284" w:rsidRPr="00BC5284" w:rsidRDefault="00BC5284">
            <w:pPr>
              <w:pStyle w:val="TableTextStocktake"/>
              <w:jc w:val="right"/>
            </w:pPr>
            <w:r w:rsidRPr="00BC5284">
              <w:rPr>
                <w:rFonts w:ascii="FreightSans Pro Bold" w:hAnsi="FreightSans Pro Bold" w:cs="FreightSans Pro Bold"/>
                <w:b/>
                <w:bCs/>
              </w:rPr>
              <w:t>44</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92567A8" w14:textId="77777777" w:rsidR="00BC5284" w:rsidRPr="00BC5284" w:rsidRDefault="00BC5284">
            <w:pPr>
              <w:pStyle w:val="TableTextStocktake"/>
              <w:jc w:val="right"/>
            </w:pPr>
            <w:r w:rsidRPr="00BC5284">
              <w:rPr>
                <w:rFonts w:ascii="FreightSans Pro Bold" w:hAnsi="FreightSans Pro Bold" w:cs="FreightSans Pro Bold"/>
                <w:b/>
                <w:bCs/>
              </w:rPr>
              <w:t>2,134</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B065D43" w14:textId="77777777" w:rsidR="00BC5284" w:rsidRPr="00BC5284" w:rsidRDefault="00BC5284">
            <w:pPr>
              <w:pStyle w:val="TableTextStocktake"/>
              <w:jc w:val="right"/>
            </w:pPr>
            <w:r w:rsidRPr="00BC5284">
              <w:rPr>
                <w:rFonts w:ascii="FreightSans Pro Bold" w:hAnsi="FreightSans Pro Bold" w:cs="FreightSans Pro Bold"/>
                <w:b/>
                <w:bCs/>
              </w:rPr>
              <w:t>5,926</w:t>
            </w:r>
          </w:p>
        </w:tc>
      </w:tr>
      <w:tr w:rsidR="00BC5284" w:rsidRPr="00BC5284" w14:paraId="75ADE351" w14:textId="77777777" w:rsidTr="00125A6D">
        <w:trPr>
          <w:trHeight w:val="60"/>
        </w:trPr>
        <w:tc>
          <w:tcPr>
            <w:tcW w:w="250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AB2D81A" w14:textId="77777777" w:rsidR="00BC5284" w:rsidRPr="00BC5284" w:rsidRDefault="00BC5284">
            <w:pPr>
              <w:pStyle w:val="TableTextStocktake"/>
            </w:pPr>
            <w:r w:rsidRPr="00BC5284">
              <w:t>Ararat (RC)</w:t>
            </w:r>
          </w:p>
        </w:tc>
        <w:tc>
          <w:tcPr>
            <w:tcW w:w="211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A196524" w14:textId="77777777" w:rsidR="00BC5284" w:rsidRPr="00BC5284" w:rsidRDefault="00BC5284">
            <w:pPr>
              <w:pStyle w:val="TableTextStocktake"/>
            </w:pPr>
            <w:r w:rsidRPr="00BC5284">
              <w:t>Rural City</w:t>
            </w:r>
          </w:p>
        </w:tc>
        <w:tc>
          <w:tcPr>
            <w:tcW w:w="65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B49EE1E" w14:textId="77777777" w:rsidR="00BC5284" w:rsidRPr="00BC5284" w:rsidRDefault="00BC5284">
            <w:pPr>
              <w:pStyle w:val="TableTextStocktake"/>
              <w:jc w:val="right"/>
            </w:pPr>
            <w:r w:rsidRPr="00BC5284">
              <w:t>4,211</w:t>
            </w:r>
          </w:p>
        </w:tc>
        <w:tc>
          <w:tcPr>
            <w:tcW w:w="9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E40DF25" w14:textId="77777777" w:rsidR="00BC5284" w:rsidRPr="00BC5284" w:rsidRDefault="00BC5284">
            <w:pPr>
              <w:pStyle w:val="TableTextStocktake"/>
              <w:jc w:val="right"/>
            </w:pPr>
            <w:r w:rsidRPr="00BC5284">
              <w:t>11,795</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9BD7E28" w14:textId="77777777" w:rsidR="00BC5284" w:rsidRPr="00BC5284" w:rsidRDefault="00BC5284">
            <w:pPr>
              <w:pStyle w:val="TableTextStocktake"/>
              <w:jc w:val="right"/>
            </w:pPr>
            <w:r w:rsidRPr="00BC5284">
              <w:t>14</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59DBE10" w14:textId="77777777" w:rsidR="00BC5284" w:rsidRPr="00BC5284" w:rsidRDefault="00BC5284">
            <w:pPr>
              <w:pStyle w:val="TableTextStocktake"/>
              <w:jc w:val="right"/>
            </w:pPr>
            <w:r w:rsidRPr="00BC5284">
              <w:t>109</w:t>
            </w:r>
          </w:p>
        </w:tc>
        <w:tc>
          <w:tcPr>
            <w:tcW w:w="70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F915DA1" w14:textId="77777777" w:rsidR="00BC5284" w:rsidRPr="00BC5284" w:rsidRDefault="00BC5284">
            <w:pPr>
              <w:pStyle w:val="TableTextStocktake"/>
              <w:jc w:val="right"/>
            </w:pPr>
            <w:r w:rsidRPr="00BC5284">
              <w:t>123</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6C1C008" w14:textId="77777777" w:rsidR="00BC5284" w:rsidRPr="00BC5284" w:rsidRDefault="00BC5284">
            <w:pPr>
              <w:pStyle w:val="TableTextStocktake"/>
              <w:jc w:val="right"/>
            </w:pPr>
            <w:r w:rsidRPr="00BC5284">
              <w:t>7</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1F0C4E2" w14:textId="77777777" w:rsidR="00BC5284" w:rsidRPr="00BC5284" w:rsidRDefault="00BC5284">
            <w:pPr>
              <w:pStyle w:val="TableTextStocktake"/>
              <w:jc w:val="right"/>
            </w:pPr>
            <w:r w:rsidRPr="00BC5284">
              <w:t>130</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CBDBAA3" w14:textId="77777777" w:rsidR="00BC5284" w:rsidRPr="00BC5284" w:rsidRDefault="00BC5284">
            <w:pPr>
              <w:pStyle w:val="TableTextStocktake"/>
              <w:jc w:val="right"/>
            </w:pPr>
            <w:r w:rsidRPr="00BC5284">
              <w:t>284</w:t>
            </w:r>
          </w:p>
        </w:tc>
      </w:tr>
      <w:tr w:rsidR="00BC5284" w:rsidRPr="00BC5284" w14:paraId="6150ED50"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F68E0B" w14:textId="77777777" w:rsidR="00BC5284" w:rsidRPr="00BC5284" w:rsidRDefault="00BC5284">
            <w:pPr>
              <w:pStyle w:val="TableTextStocktake"/>
            </w:pPr>
            <w:r w:rsidRPr="00BC5284">
              <w:t>Ballarat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B3F9F6"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893486" w14:textId="77777777" w:rsidR="00BC5284" w:rsidRPr="00BC5284" w:rsidRDefault="00BC5284">
            <w:pPr>
              <w:pStyle w:val="TableTextStocktake"/>
              <w:jc w:val="right"/>
            </w:pPr>
            <w:r w:rsidRPr="00BC5284">
              <w:t>739</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B0D093" w14:textId="77777777" w:rsidR="00BC5284" w:rsidRPr="00BC5284" w:rsidRDefault="00BC5284">
            <w:pPr>
              <w:pStyle w:val="TableTextStocktake"/>
              <w:jc w:val="right"/>
            </w:pPr>
            <w:r w:rsidRPr="00BC5284">
              <w:t>107,325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3E4D5A" w14:textId="77777777" w:rsidR="00BC5284" w:rsidRPr="00BC5284" w:rsidRDefault="00BC5284">
            <w:pPr>
              <w:pStyle w:val="TableTextStocktake"/>
              <w:jc w:val="right"/>
            </w:pPr>
            <w:r w:rsidRPr="00BC5284">
              <w:t>61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2A4725" w14:textId="77777777" w:rsidR="00BC5284" w:rsidRPr="00BC5284" w:rsidRDefault="00BC5284">
            <w:pPr>
              <w:pStyle w:val="TableTextStocktake"/>
              <w:jc w:val="right"/>
            </w:pPr>
            <w:r w:rsidRPr="00BC5284">
              <w:t>107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F81AED" w14:textId="77777777" w:rsidR="00BC5284" w:rsidRPr="00BC5284" w:rsidRDefault="00BC5284">
            <w:pPr>
              <w:pStyle w:val="TableTextStocktake"/>
              <w:jc w:val="right"/>
            </w:pPr>
            <w:r w:rsidRPr="00BC5284">
              <w:t>168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2DD0AF" w14:textId="77777777" w:rsidR="00BC5284" w:rsidRPr="00BC5284" w:rsidRDefault="00BC5284">
            <w:pPr>
              <w:pStyle w:val="TableTextStocktake"/>
              <w:jc w:val="right"/>
            </w:pPr>
            <w:r w:rsidRPr="00BC5284">
              <w:t>28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ABBA92" w14:textId="77777777" w:rsidR="00BC5284" w:rsidRPr="00BC5284" w:rsidRDefault="00BC5284">
            <w:pPr>
              <w:pStyle w:val="TableTextStocktake"/>
              <w:jc w:val="right"/>
            </w:pPr>
            <w:r w:rsidRPr="00BC5284">
              <w:t>196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212338" w14:textId="77777777" w:rsidR="00BC5284" w:rsidRPr="00BC5284" w:rsidRDefault="00BC5284">
            <w:pPr>
              <w:pStyle w:val="TableTextStocktake"/>
              <w:jc w:val="right"/>
            </w:pPr>
            <w:r w:rsidRPr="00BC5284">
              <w:t>10,959</w:t>
            </w:r>
          </w:p>
        </w:tc>
      </w:tr>
      <w:tr w:rsidR="00BC5284" w:rsidRPr="00BC5284" w14:paraId="1A772E84"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AD0B52" w14:textId="77777777" w:rsidR="00BC5284" w:rsidRPr="00BC5284" w:rsidRDefault="00BC5284">
            <w:pPr>
              <w:pStyle w:val="TableTextStocktake"/>
            </w:pPr>
            <w:r w:rsidRPr="00BC5284">
              <w:t>Benalla (RC)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985342"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BED83A" w14:textId="77777777" w:rsidR="00BC5284" w:rsidRPr="00BC5284" w:rsidRDefault="00BC5284">
            <w:pPr>
              <w:pStyle w:val="TableTextStocktake"/>
              <w:jc w:val="right"/>
            </w:pPr>
            <w:r w:rsidRPr="00BC5284">
              <w:t>2,353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7A0D54" w14:textId="77777777" w:rsidR="00BC5284" w:rsidRPr="00BC5284" w:rsidRDefault="00BC5284">
            <w:pPr>
              <w:pStyle w:val="TableTextStocktake"/>
              <w:jc w:val="right"/>
            </w:pPr>
            <w:r w:rsidRPr="00BC5284">
              <w:t>14,024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5E047D" w14:textId="77777777" w:rsidR="00BC5284" w:rsidRPr="00BC5284" w:rsidRDefault="00BC5284">
            <w:pPr>
              <w:pStyle w:val="TableTextStocktake"/>
              <w:jc w:val="right"/>
            </w:pPr>
            <w:r w:rsidRPr="00BC5284">
              <w:t>16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DF195C" w14:textId="77777777" w:rsidR="00BC5284" w:rsidRPr="00BC5284" w:rsidRDefault="00BC5284">
            <w:pPr>
              <w:pStyle w:val="TableTextStocktake"/>
              <w:jc w:val="right"/>
            </w:pPr>
            <w:r w:rsidRPr="00BC5284">
              <w:t>30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DCB21F" w14:textId="77777777" w:rsidR="00BC5284" w:rsidRPr="00BC5284" w:rsidRDefault="00BC5284">
            <w:pPr>
              <w:pStyle w:val="TableTextStocktake"/>
              <w:jc w:val="right"/>
            </w:pPr>
            <w:r w:rsidRPr="00BC5284">
              <w:t>46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A9FE9D" w14:textId="77777777" w:rsidR="00BC5284" w:rsidRPr="00BC5284" w:rsidRDefault="00BC5284">
            <w:pPr>
              <w:pStyle w:val="TableTextStocktake"/>
              <w:jc w:val="right"/>
            </w:pPr>
            <w:r w:rsidRPr="00BC5284">
              <w:t>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99C572" w14:textId="77777777" w:rsidR="00BC5284" w:rsidRPr="00BC5284" w:rsidRDefault="00BC5284">
            <w:pPr>
              <w:pStyle w:val="TableTextStocktake"/>
              <w:jc w:val="right"/>
            </w:pPr>
            <w:r w:rsidRPr="00BC5284">
              <w:t>48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389349" w14:textId="77777777" w:rsidR="00BC5284" w:rsidRPr="00BC5284" w:rsidRDefault="00BC5284">
            <w:pPr>
              <w:pStyle w:val="TableTextStocktake"/>
              <w:jc w:val="right"/>
            </w:pPr>
            <w:r w:rsidRPr="00BC5284">
              <w:t>322</w:t>
            </w:r>
          </w:p>
        </w:tc>
      </w:tr>
      <w:tr w:rsidR="00BC5284" w:rsidRPr="00BC5284" w14:paraId="67E4B00A"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9402D02" w14:textId="77777777" w:rsidR="00BC5284" w:rsidRPr="00BC5284" w:rsidRDefault="00BC5284">
            <w:pPr>
              <w:pStyle w:val="TableTextStocktake"/>
            </w:pPr>
            <w:r w:rsidRPr="00BC5284">
              <w:t>Greater Bendigo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0B8243"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912AB0" w14:textId="77777777" w:rsidR="00BC5284" w:rsidRPr="00BC5284" w:rsidRDefault="00BC5284">
            <w:pPr>
              <w:pStyle w:val="TableTextStocktake"/>
              <w:jc w:val="right"/>
            </w:pPr>
            <w:r w:rsidRPr="00BC5284">
              <w:t>3,000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1FA6C9" w14:textId="77777777" w:rsidR="00BC5284" w:rsidRPr="00BC5284" w:rsidRDefault="00BC5284">
            <w:pPr>
              <w:pStyle w:val="TableTextStocktake"/>
              <w:jc w:val="right"/>
            </w:pPr>
            <w:r w:rsidRPr="00BC5284">
              <w:t>116,045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4E48CF" w14:textId="77777777" w:rsidR="00BC5284" w:rsidRPr="00BC5284" w:rsidRDefault="00BC5284">
            <w:pPr>
              <w:pStyle w:val="TableTextStocktake"/>
              <w:jc w:val="right"/>
            </w:pPr>
            <w:r w:rsidRPr="00BC5284">
              <w:t>108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4BF43B" w14:textId="77777777" w:rsidR="00BC5284" w:rsidRPr="00BC5284" w:rsidRDefault="00BC5284">
            <w:pPr>
              <w:pStyle w:val="TableTextStocktake"/>
              <w:jc w:val="right"/>
            </w:pPr>
            <w:r w:rsidRPr="00BC5284">
              <w:t>682</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E55CC5" w14:textId="77777777" w:rsidR="00BC5284" w:rsidRPr="00BC5284" w:rsidRDefault="00BC5284">
            <w:pPr>
              <w:pStyle w:val="TableTextStocktake"/>
              <w:jc w:val="right"/>
            </w:pPr>
            <w:r w:rsidRPr="00BC5284">
              <w:t>790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24A32B" w14:textId="77777777" w:rsidR="00BC5284" w:rsidRPr="00BC5284" w:rsidRDefault="00BC5284">
            <w:pPr>
              <w:pStyle w:val="TableTextStocktake"/>
              <w:jc w:val="right"/>
            </w:pPr>
            <w:r w:rsidRPr="00BC5284">
              <w:t>47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948BE8" w14:textId="77777777" w:rsidR="00BC5284" w:rsidRPr="00BC5284" w:rsidRDefault="00BC5284">
            <w:pPr>
              <w:pStyle w:val="TableTextStocktake"/>
              <w:jc w:val="right"/>
            </w:pPr>
            <w:r w:rsidRPr="00BC5284">
              <w:t>837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C8013F" w14:textId="77777777" w:rsidR="00BC5284" w:rsidRPr="00BC5284" w:rsidRDefault="00BC5284">
            <w:pPr>
              <w:pStyle w:val="TableTextStocktake"/>
              <w:jc w:val="right"/>
            </w:pPr>
            <w:r w:rsidRPr="00BC5284">
              <w:t>6,884</w:t>
            </w:r>
          </w:p>
        </w:tc>
      </w:tr>
      <w:tr w:rsidR="00BC5284" w:rsidRPr="00BC5284" w14:paraId="30E44174"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426DE3" w14:textId="77777777" w:rsidR="00BC5284" w:rsidRPr="00BC5284" w:rsidRDefault="00BC5284">
            <w:pPr>
              <w:pStyle w:val="TableTextStocktake"/>
            </w:pPr>
            <w:r w:rsidRPr="00BC5284">
              <w:t>Greater Geelong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7E79C7"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1298BD" w14:textId="77777777" w:rsidR="00BC5284" w:rsidRPr="00BC5284" w:rsidRDefault="00BC5284">
            <w:pPr>
              <w:pStyle w:val="TableTextStocktake"/>
              <w:jc w:val="right"/>
            </w:pPr>
            <w:r w:rsidRPr="00BC5284">
              <w:t>1,248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7A7583" w14:textId="77777777" w:rsidR="00BC5284" w:rsidRPr="00BC5284" w:rsidRDefault="00BC5284">
            <w:pPr>
              <w:pStyle w:val="TableTextStocktake"/>
              <w:jc w:val="right"/>
            </w:pPr>
            <w:r w:rsidRPr="00BC5284">
              <w:t>252,217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FAD6D1" w14:textId="77777777" w:rsidR="00BC5284" w:rsidRPr="00BC5284" w:rsidRDefault="00BC5284">
            <w:pPr>
              <w:pStyle w:val="TableTextStocktake"/>
              <w:jc w:val="right"/>
            </w:pPr>
            <w:r w:rsidRPr="00BC5284">
              <w:t>121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0FDA8E" w14:textId="77777777" w:rsidR="00BC5284" w:rsidRPr="00BC5284" w:rsidRDefault="00BC5284">
            <w:pPr>
              <w:pStyle w:val="TableTextStocktake"/>
              <w:jc w:val="right"/>
            </w:pPr>
            <w:r w:rsidRPr="00BC5284">
              <w:t>1,070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405021" w14:textId="77777777" w:rsidR="00BC5284" w:rsidRPr="00BC5284" w:rsidRDefault="00BC5284">
            <w:pPr>
              <w:pStyle w:val="TableTextStocktake"/>
              <w:jc w:val="right"/>
            </w:pPr>
            <w:r w:rsidRPr="00BC5284">
              <w:t>1,191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4ED3F6" w14:textId="77777777" w:rsidR="00BC5284" w:rsidRPr="00BC5284" w:rsidRDefault="00BC5284">
            <w:pPr>
              <w:pStyle w:val="TableTextStocktake"/>
              <w:jc w:val="right"/>
            </w:pPr>
            <w:r w:rsidRPr="00BC5284">
              <w:t>55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265345" w14:textId="77777777" w:rsidR="00BC5284" w:rsidRPr="00BC5284" w:rsidRDefault="00BC5284">
            <w:pPr>
              <w:pStyle w:val="TableTextStocktake"/>
              <w:jc w:val="right"/>
            </w:pPr>
            <w:r w:rsidRPr="00BC5284">
              <w:t>1,246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553BD0" w14:textId="77777777" w:rsidR="00BC5284" w:rsidRPr="00BC5284" w:rsidRDefault="00BC5284">
            <w:pPr>
              <w:pStyle w:val="TableTextStocktake"/>
              <w:jc w:val="right"/>
            </w:pPr>
            <w:r w:rsidRPr="00BC5284">
              <w:t>8,599</w:t>
            </w:r>
          </w:p>
        </w:tc>
      </w:tr>
      <w:tr w:rsidR="00BC5284" w:rsidRPr="00BC5284" w14:paraId="0AF0DB80"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AFBD08" w14:textId="77777777" w:rsidR="00BC5284" w:rsidRPr="00BC5284" w:rsidRDefault="00BC5284">
            <w:pPr>
              <w:pStyle w:val="TableTextStocktake"/>
            </w:pPr>
            <w:r w:rsidRPr="00BC5284">
              <w:lastRenderedPageBreak/>
              <w:t>Greater Shepparton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F3B718"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C3EFBB" w14:textId="77777777" w:rsidR="00BC5284" w:rsidRPr="00BC5284" w:rsidRDefault="00BC5284">
            <w:pPr>
              <w:pStyle w:val="TableTextStocktake"/>
              <w:jc w:val="right"/>
            </w:pPr>
            <w:r w:rsidRPr="00BC5284">
              <w:t>2,422</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D0B4DF" w14:textId="77777777" w:rsidR="00BC5284" w:rsidRPr="00BC5284" w:rsidRDefault="00BC5284">
            <w:pPr>
              <w:pStyle w:val="TableTextStocktake"/>
              <w:jc w:val="right"/>
            </w:pPr>
            <w:r w:rsidRPr="00BC5284">
              <w:t>66,007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B7A3FB" w14:textId="77777777" w:rsidR="00BC5284" w:rsidRPr="00BC5284" w:rsidRDefault="00BC5284">
            <w:pPr>
              <w:pStyle w:val="TableTextStocktake"/>
              <w:jc w:val="right"/>
            </w:pPr>
            <w:r w:rsidRPr="00BC5284">
              <w:t>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1AAD46" w14:textId="77777777" w:rsidR="00BC5284" w:rsidRPr="00BC5284" w:rsidRDefault="00BC5284">
            <w:pPr>
              <w:pStyle w:val="TableTextStocktake"/>
              <w:jc w:val="right"/>
            </w:pPr>
            <w:r w:rsidRPr="00BC5284">
              <w:t>357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762F25" w14:textId="77777777" w:rsidR="00BC5284" w:rsidRPr="00BC5284" w:rsidRDefault="00BC5284">
            <w:pPr>
              <w:pStyle w:val="TableTextStocktake"/>
              <w:jc w:val="right"/>
            </w:pPr>
            <w:r w:rsidRPr="00BC5284">
              <w:t>365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FB7AAE" w14:textId="77777777" w:rsidR="00BC5284" w:rsidRPr="00BC5284" w:rsidRDefault="00BC5284">
            <w:pPr>
              <w:pStyle w:val="TableTextStocktake"/>
              <w:jc w:val="right"/>
            </w:pPr>
            <w:r w:rsidRPr="00BC5284">
              <w:t>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9E2FB1" w14:textId="77777777" w:rsidR="00BC5284" w:rsidRPr="00BC5284" w:rsidRDefault="00BC5284">
            <w:pPr>
              <w:pStyle w:val="TableTextStocktake"/>
              <w:jc w:val="right"/>
            </w:pPr>
            <w:r w:rsidRPr="00BC5284">
              <w:t>378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9861E8" w14:textId="77777777" w:rsidR="00BC5284" w:rsidRPr="00BC5284" w:rsidRDefault="00BC5284">
            <w:pPr>
              <w:pStyle w:val="TableTextStocktake"/>
              <w:jc w:val="right"/>
            </w:pPr>
            <w:r w:rsidRPr="00BC5284">
              <w:t>1,001</w:t>
            </w:r>
          </w:p>
        </w:tc>
      </w:tr>
      <w:tr w:rsidR="00BC5284" w:rsidRPr="00BC5284" w14:paraId="37CD5F5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216549" w14:textId="77777777" w:rsidR="00BC5284" w:rsidRPr="00BC5284" w:rsidRDefault="00BC5284">
            <w:pPr>
              <w:pStyle w:val="TableTextStocktake"/>
            </w:pPr>
            <w:r w:rsidRPr="00BC5284">
              <w:t>Horsham (RC)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378CAA"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1C4C38" w14:textId="77777777" w:rsidR="00BC5284" w:rsidRPr="00BC5284" w:rsidRDefault="00BC5284">
            <w:pPr>
              <w:pStyle w:val="TableTextStocktake"/>
              <w:jc w:val="right"/>
            </w:pPr>
            <w:r w:rsidRPr="00BC5284">
              <w:t>4,267</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A4E0EC" w14:textId="77777777" w:rsidR="00BC5284" w:rsidRPr="00BC5284" w:rsidRDefault="00BC5284">
            <w:pPr>
              <w:pStyle w:val="TableTextStocktake"/>
              <w:jc w:val="right"/>
            </w:pPr>
            <w:r w:rsidRPr="00BC5284">
              <w:t>19,875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55C31C" w14:textId="77777777" w:rsidR="00BC5284" w:rsidRPr="00BC5284" w:rsidRDefault="00BC5284">
            <w:pPr>
              <w:pStyle w:val="TableTextStocktake"/>
              <w:jc w:val="right"/>
            </w:pPr>
            <w:r w:rsidRPr="00BC5284">
              <w:t>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2AC8EF" w14:textId="77777777" w:rsidR="00BC5284" w:rsidRPr="00BC5284" w:rsidRDefault="00BC5284">
            <w:pPr>
              <w:pStyle w:val="TableTextStocktake"/>
              <w:jc w:val="right"/>
            </w:pPr>
            <w:r w:rsidRPr="00BC5284">
              <w:t>21</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6B68C5" w14:textId="77777777" w:rsidR="00BC5284" w:rsidRPr="00BC5284" w:rsidRDefault="00BC5284">
            <w:pPr>
              <w:pStyle w:val="TableTextStocktake"/>
              <w:jc w:val="right"/>
            </w:pPr>
            <w:r w:rsidRPr="00BC5284">
              <w:t>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9F0F47"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C19FC19" w14:textId="77777777" w:rsidR="00BC5284" w:rsidRPr="00BC5284" w:rsidRDefault="00BC5284">
            <w:pPr>
              <w:pStyle w:val="TableTextStocktake"/>
              <w:jc w:val="right"/>
            </w:pPr>
            <w:r w:rsidRPr="00BC5284">
              <w:t>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E914BC" w14:textId="77777777" w:rsidR="00BC5284" w:rsidRPr="00BC5284" w:rsidRDefault="00BC5284">
            <w:pPr>
              <w:pStyle w:val="TableTextStocktake"/>
              <w:jc w:val="right"/>
            </w:pPr>
            <w:r w:rsidRPr="00BC5284">
              <w:t>52</w:t>
            </w:r>
          </w:p>
        </w:tc>
      </w:tr>
      <w:tr w:rsidR="00BC5284" w:rsidRPr="00BC5284" w14:paraId="70FD9A6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CCF6DF0" w14:textId="77777777" w:rsidR="00BC5284" w:rsidRPr="00BC5284" w:rsidRDefault="00BC5284">
            <w:pPr>
              <w:pStyle w:val="TableTextStocktake"/>
            </w:pPr>
            <w:r w:rsidRPr="00BC5284">
              <w:t>Latrobe (C)</w:t>
            </w:r>
          </w:p>
        </w:tc>
        <w:tc>
          <w:tcPr>
            <w:tcW w:w="211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CB96828"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FDD8374" w14:textId="77777777" w:rsidR="00BC5284" w:rsidRPr="00BC5284" w:rsidRDefault="00BC5284">
            <w:pPr>
              <w:pStyle w:val="TableTextStocktake"/>
              <w:jc w:val="right"/>
            </w:pPr>
            <w:r w:rsidRPr="00BC5284">
              <w:t>1,426</w:t>
            </w:r>
          </w:p>
        </w:tc>
        <w:tc>
          <w:tcPr>
            <w:tcW w:w="967"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008A01B" w14:textId="77777777" w:rsidR="00BC5284" w:rsidRPr="00BC5284" w:rsidRDefault="00BC5284">
            <w:pPr>
              <w:pStyle w:val="TableTextStocktake"/>
              <w:jc w:val="right"/>
            </w:pPr>
            <w:r w:rsidRPr="00BC5284">
              <w:t>75,211</w:t>
            </w:r>
          </w:p>
        </w:tc>
        <w:tc>
          <w:tcPr>
            <w:tcW w:w="85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5F2F0AB" w14:textId="77777777" w:rsidR="00BC5284" w:rsidRPr="00BC5284" w:rsidRDefault="00BC5284">
            <w:pPr>
              <w:pStyle w:val="TableTextStocktake"/>
              <w:jc w:val="right"/>
            </w:pPr>
            <w:r w:rsidRPr="00BC5284">
              <w:t>8</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407A72F" w14:textId="77777777" w:rsidR="00BC5284" w:rsidRPr="00BC5284" w:rsidRDefault="00BC5284">
            <w:pPr>
              <w:pStyle w:val="TableTextStocktake"/>
              <w:jc w:val="right"/>
            </w:pPr>
            <w:r w:rsidRPr="00BC5284">
              <w:t>130</w:t>
            </w:r>
          </w:p>
        </w:tc>
        <w:tc>
          <w:tcPr>
            <w:tcW w:w="708"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4A5B8D2" w14:textId="77777777" w:rsidR="00BC5284" w:rsidRPr="00BC5284" w:rsidRDefault="00BC5284">
            <w:pPr>
              <w:pStyle w:val="TableTextStocktake"/>
              <w:jc w:val="right"/>
            </w:pPr>
            <w:r w:rsidRPr="00BC5284">
              <w:t>138</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4B04F25"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AD905C6" w14:textId="77777777" w:rsidR="00BC5284" w:rsidRPr="00BC5284" w:rsidRDefault="00BC5284">
            <w:pPr>
              <w:pStyle w:val="TableTextStocktake"/>
              <w:jc w:val="right"/>
            </w:pPr>
            <w:r w:rsidRPr="00BC5284">
              <w:t>150</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2BF53C6" w14:textId="77777777" w:rsidR="00BC5284" w:rsidRPr="00BC5284" w:rsidRDefault="00BC5284">
            <w:pPr>
              <w:pStyle w:val="TableTextStocktake"/>
              <w:jc w:val="right"/>
            </w:pPr>
            <w:r w:rsidRPr="00BC5284">
              <w:t>417</w:t>
            </w:r>
          </w:p>
        </w:tc>
      </w:tr>
      <w:tr w:rsidR="00BC5284" w:rsidRPr="00BC5284" w14:paraId="4765119F"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1992EC" w14:textId="77777777" w:rsidR="00BC5284" w:rsidRPr="00BC5284" w:rsidRDefault="00BC5284">
            <w:pPr>
              <w:pStyle w:val="TableTextStocktake"/>
            </w:pPr>
            <w:r w:rsidRPr="00BC5284">
              <w:t>Mildura (RC)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264D6A"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74A1A4" w14:textId="77777777" w:rsidR="00BC5284" w:rsidRPr="00BC5284" w:rsidRDefault="00BC5284">
            <w:pPr>
              <w:pStyle w:val="TableTextStocktake"/>
              <w:jc w:val="right"/>
            </w:pPr>
            <w:r w:rsidRPr="00BC5284">
              <w:t>22,083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69EB03" w14:textId="77777777" w:rsidR="00BC5284" w:rsidRPr="00BC5284" w:rsidRDefault="00BC5284">
            <w:pPr>
              <w:pStyle w:val="TableTextStocktake"/>
              <w:jc w:val="right"/>
            </w:pPr>
            <w:r w:rsidRPr="00BC5284">
              <w:t>55,515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69DB81" w14:textId="77777777" w:rsidR="00BC5284" w:rsidRPr="00BC5284" w:rsidRDefault="00BC5284">
            <w:pPr>
              <w:pStyle w:val="TableTextStocktake"/>
              <w:jc w:val="right"/>
            </w:pPr>
            <w:r w:rsidRPr="00BC5284">
              <w:t>14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16E929" w14:textId="77777777" w:rsidR="00BC5284" w:rsidRPr="00BC5284" w:rsidRDefault="00BC5284">
            <w:pPr>
              <w:pStyle w:val="TableTextStocktake"/>
              <w:jc w:val="right"/>
            </w:pPr>
            <w:r w:rsidRPr="00BC5284">
              <w:t>222</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FBA921" w14:textId="77777777" w:rsidR="00BC5284" w:rsidRPr="00BC5284" w:rsidRDefault="00BC5284">
            <w:pPr>
              <w:pStyle w:val="TableTextStocktake"/>
              <w:jc w:val="right"/>
            </w:pPr>
            <w:r w:rsidRPr="00BC5284">
              <w:t>236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942BA7" w14:textId="77777777" w:rsidR="00BC5284" w:rsidRPr="00BC5284" w:rsidRDefault="00BC5284">
            <w:pPr>
              <w:pStyle w:val="TableTextStocktake"/>
              <w:jc w:val="right"/>
            </w:pPr>
            <w:r w:rsidRPr="00BC5284">
              <w:t>14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5BAF9C" w14:textId="77777777" w:rsidR="00BC5284" w:rsidRPr="00BC5284" w:rsidRDefault="00BC5284">
            <w:pPr>
              <w:pStyle w:val="TableTextStocktake"/>
              <w:jc w:val="right"/>
            </w:pPr>
            <w:r w:rsidRPr="00BC5284">
              <w:t>250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6CDCF3" w14:textId="77777777" w:rsidR="00BC5284" w:rsidRPr="00BC5284" w:rsidRDefault="00BC5284">
            <w:pPr>
              <w:pStyle w:val="TableTextStocktake"/>
              <w:jc w:val="right"/>
            </w:pPr>
            <w:r w:rsidRPr="00BC5284">
              <w:t>698</w:t>
            </w:r>
          </w:p>
        </w:tc>
      </w:tr>
      <w:tr w:rsidR="00BC5284" w:rsidRPr="00BC5284" w14:paraId="70D9079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61D536" w14:textId="77777777" w:rsidR="00BC5284" w:rsidRPr="00BC5284" w:rsidRDefault="00BC5284">
            <w:pPr>
              <w:pStyle w:val="TableTextStocktake"/>
            </w:pPr>
            <w:r w:rsidRPr="00BC5284">
              <w:t>Swan Hill (RC)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3D20EE"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2519AA" w14:textId="77777777" w:rsidR="00BC5284" w:rsidRPr="00BC5284" w:rsidRDefault="00BC5284">
            <w:pPr>
              <w:pStyle w:val="TableTextStocktake"/>
              <w:jc w:val="right"/>
            </w:pPr>
            <w:r w:rsidRPr="00BC5284">
              <w:t>6,115</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564201" w14:textId="77777777" w:rsidR="00BC5284" w:rsidRPr="00BC5284" w:rsidRDefault="00BC5284">
            <w:pPr>
              <w:pStyle w:val="TableTextStocktake"/>
              <w:jc w:val="right"/>
            </w:pPr>
            <w:r w:rsidRPr="00BC5284">
              <w:t>20,759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2F29DA" w14:textId="77777777" w:rsidR="00BC5284" w:rsidRPr="00BC5284" w:rsidRDefault="00BC5284">
            <w:pPr>
              <w:pStyle w:val="TableTextStocktake"/>
              <w:jc w:val="right"/>
            </w:pPr>
            <w:r w:rsidRPr="00BC5284">
              <w:t>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659C64" w14:textId="77777777" w:rsidR="00BC5284" w:rsidRPr="00BC5284" w:rsidRDefault="00BC5284">
            <w:pPr>
              <w:pStyle w:val="TableTextStocktake"/>
              <w:jc w:val="right"/>
            </w:pPr>
            <w:r w:rsidRPr="00BC5284">
              <w:t>193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2D561B" w14:textId="77777777" w:rsidR="00BC5284" w:rsidRPr="00BC5284" w:rsidRDefault="00BC5284">
            <w:pPr>
              <w:pStyle w:val="TableTextStocktake"/>
              <w:jc w:val="right"/>
            </w:pPr>
            <w:r w:rsidRPr="00BC5284">
              <w:t>199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4D4956"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034813" w14:textId="77777777" w:rsidR="00BC5284" w:rsidRPr="00BC5284" w:rsidRDefault="00BC5284">
            <w:pPr>
              <w:pStyle w:val="TableTextStocktake"/>
              <w:jc w:val="right"/>
            </w:pPr>
            <w:r w:rsidRPr="00BC5284">
              <w:t>202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F0E6F4" w14:textId="77777777" w:rsidR="00BC5284" w:rsidRPr="00BC5284" w:rsidRDefault="00BC5284">
            <w:pPr>
              <w:pStyle w:val="TableTextStocktake"/>
              <w:jc w:val="right"/>
            </w:pPr>
            <w:r w:rsidRPr="00BC5284">
              <w:t>309</w:t>
            </w:r>
          </w:p>
        </w:tc>
      </w:tr>
      <w:tr w:rsidR="00BC5284" w:rsidRPr="00BC5284" w14:paraId="39CAD511"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05FE4E" w14:textId="77777777" w:rsidR="00BC5284" w:rsidRPr="00BC5284" w:rsidRDefault="00BC5284">
            <w:pPr>
              <w:pStyle w:val="TableTextStocktake"/>
            </w:pPr>
            <w:r w:rsidRPr="00BC5284">
              <w:t>Wangaratta (RC)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F9E24E"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6BC0B9" w14:textId="77777777" w:rsidR="00BC5284" w:rsidRPr="00BC5284" w:rsidRDefault="00BC5284">
            <w:pPr>
              <w:pStyle w:val="TableTextStocktake"/>
              <w:jc w:val="right"/>
            </w:pPr>
            <w:r w:rsidRPr="00BC5284">
              <w:t>3,645</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CD52C0" w14:textId="77777777" w:rsidR="00BC5284" w:rsidRPr="00BC5284" w:rsidRDefault="00BC5284">
            <w:pPr>
              <w:pStyle w:val="TableTextStocktake"/>
              <w:jc w:val="right"/>
            </w:pPr>
            <w:r w:rsidRPr="00BC5284">
              <w:t>29,087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EC458C"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34F5BD" w14:textId="77777777" w:rsidR="00BC5284" w:rsidRPr="00BC5284" w:rsidRDefault="00BC5284">
            <w:pPr>
              <w:pStyle w:val="TableTextStocktake"/>
              <w:jc w:val="right"/>
            </w:pPr>
            <w:r w:rsidRPr="00BC5284">
              <w:t>211</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C3FA18" w14:textId="77777777" w:rsidR="00BC5284" w:rsidRPr="00BC5284" w:rsidRDefault="00BC5284">
            <w:pPr>
              <w:pStyle w:val="TableTextStocktake"/>
              <w:jc w:val="right"/>
            </w:pPr>
            <w:r w:rsidRPr="00BC5284">
              <w:t>223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5E71E4" w14:textId="77777777" w:rsidR="00BC5284" w:rsidRPr="00BC5284" w:rsidRDefault="00BC5284">
            <w:pPr>
              <w:pStyle w:val="TableTextStocktake"/>
              <w:jc w:val="right"/>
            </w:pPr>
            <w:r w:rsidRPr="00BC5284">
              <w:t>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440562" w14:textId="77777777" w:rsidR="00BC5284" w:rsidRPr="00BC5284" w:rsidRDefault="00BC5284">
            <w:pPr>
              <w:pStyle w:val="TableTextStocktake"/>
              <w:jc w:val="right"/>
            </w:pPr>
            <w:r w:rsidRPr="00BC5284">
              <w:t>236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8F3401" w14:textId="77777777" w:rsidR="00BC5284" w:rsidRPr="00BC5284" w:rsidRDefault="00BC5284">
            <w:pPr>
              <w:pStyle w:val="TableTextStocktake"/>
              <w:jc w:val="right"/>
            </w:pPr>
            <w:r w:rsidRPr="00BC5284">
              <w:t>1,356</w:t>
            </w:r>
          </w:p>
        </w:tc>
      </w:tr>
      <w:tr w:rsidR="00BC5284" w:rsidRPr="00BC5284" w14:paraId="57CDC0C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5CCAB0" w14:textId="77777777" w:rsidR="00BC5284" w:rsidRPr="00BC5284" w:rsidRDefault="00BC5284">
            <w:pPr>
              <w:pStyle w:val="TableTextStocktake"/>
            </w:pPr>
            <w:r w:rsidRPr="00BC5284">
              <w:t>Warrnambool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D88FCA"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1107A8" w14:textId="77777777" w:rsidR="00BC5284" w:rsidRPr="00BC5284" w:rsidRDefault="00BC5284">
            <w:pPr>
              <w:pStyle w:val="TableTextStocktake"/>
              <w:jc w:val="right"/>
            </w:pPr>
            <w:r w:rsidRPr="00BC5284">
              <w:t>121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5F989D" w14:textId="77777777" w:rsidR="00BC5284" w:rsidRPr="00BC5284" w:rsidRDefault="00BC5284">
            <w:pPr>
              <w:pStyle w:val="TableTextStocktake"/>
              <w:jc w:val="right"/>
            </w:pPr>
            <w:r w:rsidRPr="00BC5284">
              <w:t>34,862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6E9E0C" w14:textId="77777777" w:rsidR="00BC5284" w:rsidRPr="00BC5284" w:rsidRDefault="00BC5284">
            <w:pPr>
              <w:pStyle w:val="TableTextStocktake"/>
              <w:jc w:val="right"/>
            </w:pPr>
            <w:r w:rsidRPr="00BC5284">
              <w:t>17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B1F220" w14:textId="77777777" w:rsidR="00BC5284" w:rsidRPr="00BC5284" w:rsidRDefault="00BC5284">
            <w:pPr>
              <w:pStyle w:val="TableTextStocktake"/>
              <w:jc w:val="right"/>
            </w:pPr>
            <w:r w:rsidRPr="00BC5284">
              <w:t>199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A27F34" w14:textId="77777777" w:rsidR="00BC5284" w:rsidRPr="00BC5284" w:rsidRDefault="00BC5284">
            <w:pPr>
              <w:pStyle w:val="TableTextStocktake"/>
              <w:jc w:val="right"/>
            </w:pPr>
            <w:r w:rsidRPr="00BC5284">
              <w:t>216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F6D5F7" w14:textId="77777777" w:rsidR="00BC5284" w:rsidRPr="00BC5284" w:rsidRDefault="00BC5284">
            <w:pPr>
              <w:pStyle w:val="TableTextStocktake"/>
              <w:jc w:val="right"/>
            </w:pPr>
            <w:r w:rsidRPr="00BC5284">
              <w:t>29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7B4A09" w14:textId="77777777" w:rsidR="00BC5284" w:rsidRPr="00BC5284" w:rsidRDefault="00BC5284">
            <w:pPr>
              <w:pStyle w:val="TableTextStocktake"/>
              <w:jc w:val="right"/>
            </w:pPr>
            <w:r w:rsidRPr="00BC5284">
              <w:t>245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D404EC" w14:textId="77777777" w:rsidR="00BC5284" w:rsidRPr="00BC5284" w:rsidRDefault="00BC5284">
            <w:pPr>
              <w:pStyle w:val="TableTextStocktake"/>
              <w:jc w:val="right"/>
            </w:pPr>
            <w:r w:rsidRPr="00BC5284">
              <w:t>1,534</w:t>
            </w:r>
          </w:p>
        </w:tc>
      </w:tr>
      <w:tr w:rsidR="00BC5284" w:rsidRPr="00BC5284" w14:paraId="205CFD63"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B69737A" w14:textId="77777777" w:rsidR="00BC5284" w:rsidRPr="00BC5284" w:rsidRDefault="00BC5284">
            <w:pPr>
              <w:pStyle w:val="TableTextStocktake"/>
            </w:pPr>
            <w:r w:rsidRPr="00BC5284">
              <w:t>Wodonga (C)</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77FD959" w14:textId="77777777" w:rsidR="00BC5284" w:rsidRPr="00BC5284" w:rsidRDefault="00BC5284">
            <w:pPr>
              <w:pStyle w:val="TableTextStocktake"/>
            </w:pPr>
            <w:r w:rsidRPr="00BC5284">
              <w:t>Rural City</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EC216DB" w14:textId="77777777" w:rsidR="00BC5284" w:rsidRPr="00BC5284" w:rsidRDefault="00BC5284">
            <w:pPr>
              <w:pStyle w:val="TableTextStocktake"/>
              <w:jc w:val="right"/>
            </w:pPr>
            <w:r w:rsidRPr="00BC5284">
              <w:t>433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6F39C22" w14:textId="77777777" w:rsidR="00BC5284" w:rsidRPr="00BC5284" w:rsidRDefault="00BC5284">
            <w:pPr>
              <w:pStyle w:val="TableTextStocktake"/>
              <w:jc w:val="right"/>
            </w:pPr>
            <w:r w:rsidRPr="00BC5284">
              <w:t>41,429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AB9B69E" w14:textId="77777777" w:rsidR="00BC5284" w:rsidRPr="00BC5284" w:rsidRDefault="00BC5284">
            <w:pPr>
              <w:pStyle w:val="TableTextStocktake"/>
              <w:jc w:val="right"/>
            </w:pPr>
            <w:r w:rsidRPr="00BC5284">
              <w:t>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19FA550" w14:textId="77777777" w:rsidR="00BC5284" w:rsidRPr="00BC5284" w:rsidRDefault="00BC5284">
            <w:pPr>
              <w:pStyle w:val="TableTextStocktake"/>
              <w:jc w:val="right"/>
            </w:pPr>
            <w:r w:rsidRPr="00BC5284">
              <w:t>50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495C6B4" w14:textId="77777777" w:rsidR="00BC5284" w:rsidRPr="00BC5284" w:rsidRDefault="00BC5284">
            <w:pPr>
              <w:pStyle w:val="TableTextStocktake"/>
              <w:jc w:val="right"/>
            </w:pPr>
            <w:r w:rsidRPr="00BC5284">
              <w:t>54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0F4BCAA"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7F66DFF" w14:textId="77777777" w:rsidR="00BC5284" w:rsidRPr="00BC5284" w:rsidRDefault="00BC5284">
            <w:pPr>
              <w:pStyle w:val="TableTextStocktake"/>
              <w:jc w:val="right"/>
            </w:pPr>
            <w:r w:rsidRPr="00BC5284">
              <w:t>55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3E697DE" w14:textId="77777777" w:rsidR="00BC5284" w:rsidRPr="00BC5284" w:rsidRDefault="00BC5284">
            <w:pPr>
              <w:pStyle w:val="TableTextStocktake"/>
              <w:jc w:val="right"/>
            </w:pPr>
            <w:r w:rsidRPr="00BC5284">
              <w:t>128</w:t>
            </w:r>
          </w:p>
        </w:tc>
      </w:tr>
      <w:tr w:rsidR="00BC5284" w:rsidRPr="00BC5284" w14:paraId="788F63BA" w14:textId="77777777" w:rsidTr="00125A6D">
        <w:trPr>
          <w:trHeight w:val="60"/>
        </w:trPr>
        <w:tc>
          <w:tcPr>
            <w:tcW w:w="2501"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2A717B5C"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5E963B55"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446F0D96" w14:textId="77777777" w:rsidR="00BC5284" w:rsidRPr="00BC5284" w:rsidRDefault="00BC5284">
            <w:pPr>
              <w:pStyle w:val="TableTextStocktake"/>
              <w:jc w:val="right"/>
            </w:pPr>
            <w:r w:rsidRPr="00BC5284">
              <w:rPr>
                <w:rFonts w:ascii="FreightSans Pro Bold" w:hAnsi="FreightSans Pro Bold" w:cs="FreightSans Pro Bold"/>
                <w:b/>
                <w:bCs/>
              </w:rPr>
              <w:t>52,062</w:t>
            </w:r>
          </w:p>
        </w:tc>
        <w:tc>
          <w:tcPr>
            <w:tcW w:w="967"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736907EF" w14:textId="77777777" w:rsidR="00BC5284" w:rsidRPr="00BC5284" w:rsidRDefault="00BC5284">
            <w:pPr>
              <w:pStyle w:val="TableTextStocktake"/>
              <w:jc w:val="right"/>
            </w:pPr>
            <w:r w:rsidRPr="00BC5284">
              <w:rPr>
                <w:rFonts w:ascii="FreightSans Pro Bold" w:hAnsi="FreightSans Pro Bold" w:cs="FreightSans Pro Bold"/>
                <w:b/>
                <w:bCs/>
              </w:rPr>
              <w:t>844,151</w:t>
            </w:r>
          </w:p>
        </w:tc>
        <w:tc>
          <w:tcPr>
            <w:tcW w:w="851"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1F6250DD" w14:textId="77777777" w:rsidR="00BC5284" w:rsidRPr="00BC5284" w:rsidRDefault="00BC5284">
            <w:pPr>
              <w:pStyle w:val="TableTextStocktake"/>
              <w:jc w:val="right"/>
            </w:pPr>
            <w:r w:rsidRPr="00BC5284">
              <w:rPr>
                <w:rFonts w:ascii="FreightSans Pro Bold" w:hAnsi="FreightSans Pro Bold" w:cs="FreightSans Pro Bold"/>
                <w:b/>
                <w:bCs/>
              </w:rPr>
              <w:t>395</w:t>
            </w:r>
          </w:p>
        </w:tc>
        <w:tc>
          <w:tcPr>
            <w:tcW w:w="709"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19C4FDA3" w14:textId="77777777" w:rsidR="00BC5284" w:rsidRPr="00BC5284" w:rsidRDefault="00BC5284">
            <w:pPr>
              <w:pStyle w:val="TableTextStocktake"/>
              <w:jc w:val="right"/>
            </w:pPr>
            <w:r w:rsidRPr="00BC5284">
              <w:rPr>
                <w:rFonts w:ascii="FreightSans Pro Bold" w:hAnsi="FreightSans Pro Bold" w:cs="FreightSans Pro Bold"/>
                <w:b/>
                <w:bCs/>
              </w:rPr>
              <w:t>3,381</w:t>
            </w:r>
          </w:p>
        </w:tc>
        <w:tc>
          <w:tcPr>
            <w:tcW w:w="708"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35431767" w14:textId="77777777" w:rsidR="00BC5284" w:rsidRPr="00BC5284" w:rsidRDefault="00BC5284">
            <w:pPr>
              <w:pStyle w:val="TableTextStocktake"/>
              <w:jc w:val="right"/>
            </w:pPr>
            <w:r w:rsidRPr="00BC5284">
              <w:rPr>
                <w:rFonts w:ascii="FreightSans Pro Bold" w:hAnsi="FreightSans Pro Bold" w:cs="FreightSans Pro Bold"/>
                <w:b/>
                <w:bCs/>
              </w:rPr>
              <w:t>3,776</w:t>
            </w:r>
          </w:p>
        </w:tc>
        <w:tc>
          <w:tcPr>
            <w:tcW w:w="709"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69E5A54E" w14:textId="77777777" w:rsidR="00BC5284" w:rsidRPr="00BC5284" w:rsidRDefault="00BC5284">
            <w:pPr>
              <w:pStyle w:val="TableTextStocktake"/>
              <w:jc w:val="right"/>
            </w:pPr>
            <w:r w:rsidRPr="00BC5284">
              <w:rPr>
                <w:rFonts w:ascii="FreightSans Pro Bold" w:hAnsi="FreightSans Pro Bold" w:cs="FreightSans Pro Bold"/>
                <w:b/>
                <w:bCs/>
              </w:rPr>
              <w:t>224</w:t>
            </w:r>
          </w:p>
        </w:tc>
        <w:tc>
          <w:tcPr>
            <w:tcW w:w="709"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2A0387D7" w14:textId="77777777" w:rsidR="00BC5284" w:rsidRPr="00BC5284" w:rsidRDefault="00BC5284">
            <w:pPr>
              <w:pStyle w:val="TableTextStocktake"/>
              <w:jc w:val="right"/>
            </w:pPr>
            <w:r w:rsidRPr="00BC5284">
              <w:rPr>
                <w:rFonts w:ascii="FreightSans Pro Bold" w:hAnsi="FreightSans Pro Bold" w:cs="FreightSans Pro Bold"/>
                <w:b/>
                <w:bCs/>
              </w:rPr>
              <w:t>4,000</w:t>
            </w:r>
          </w:p>
        </w:tc>
        <w:tc>
          <w:tcPr>
            <w:tcW w:w="709" w:type="dxa"/>
            <w:tcBorders>
              <w:top w:val="single" w:sz="2" w:space="0" w:color="000000"/>
              <w:left w:val="single" w:sz="6" w:space="0" w:color="000000"/>
              <w:bottom w:val="single" w:sz="2" w:space="0" w:color="auto"/>
              <w:right w:val="single" w:sz="6" w:space="0" w:color="000000"/>
            </w:tcBorders>
            <w:tcMar>
              <w:top w:w="57" w:type="dxa"/>
              <w:left w:w="80" w:type="dxa"/>
              <w:bottom w:w="113" w:type="dxa"/>
              <w:right w:w="80" w:type="dxa"/>
            </w:tcMar>
          </w:tcPr>
          <w:p w14:paraId="647F0929" w14:textId="77777777" w:rsidR="00BC5284" w:rsidRPr="00BC5284" w:rsidRDefault="00BC5284">
            <w:pPr>
              <w:pStyle w:val="TableTextStocktake"/>
              <w:jc w:val="right"/>
            </w:pPr>
            <w:r w:rsidRPr="00BC5284">
              <w:rPr>
                <w:rFonts w:ascii="FreightSans Pro Bold" w:hAnsi="FreightSans Pro Bold" w:cs="FreightSans Pro Bold"/>
                <w:b/>
                <w:bCs/>
              </w:rPr>
              <w:t>32,543</w:t>
            </w:r>
          </w:p>
        </w:tc>
      </w:tr>
      <w:tr w:rsidR="00125A6D" w:rsidRPr="00125A6D" w14:paraId="24200079" w14:textId="77777777" w:rsidTr="00125A6D">
        <w:trPr>
          <w:trHeight w:val="2651"/>
        </w:trPr>
        <w:tc>
          <w:tcPr>
            <w:tcW w:w="2501"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cPr>
          <w:p w14:paraId="2FF1BDBF" w14:textId="77777777" w:rsidR="00BC5284" w:rsidRPr="00125A6D" w:rsidRDefault="00BC5284">
            <w:pPr>
              <w:pStyle w:val="TableText"/>
            </w:pPr>
            <w:r w:rsidRPr="00125A6D">
              <w:rPr>
                <w:rStyle w:val="TabletextBold"/>
                <w:rFonts w:cs="FreightSans Pro Bold"/>
                <w:bCs/>
              </w:rPr>
              <w:t>Council (Type)</w:t>
            </w:r>
          </w:p>
        </w:tc>
        <w:tc>
          <w:tcPr>
            <w:tcW w:w="2111"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cPr>
          <w:p w14:paraId="680926DF" w14:textId="77777777" w:rsidR="00BC5284" w:rsidRPr="00125A6D" w:rsidRDefault="00BC5284">
            <w:pPr>
              <w:pStyle w:val="TableText"/>
            </w:pPr>
            <w:r w:rsidRPr="00125A6D">
              <w:rPr>
                <w:rStyle w:val="TabletextBold"/>
                <w:rFonts w:cs="FreightSans Pro Bold"/>
                <w:bCs/>
              </w:rPr>
              <w:t>Council grouping</w:t>
            </w:r>
          </w:p>
        </w:tc>
        <w:tc>
          <w:tcPr>
            <w:tcW w:w="658"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422514B9" w14:textId="77777777" w:rsidR="00BC5284" w:rsidRPr="00125A6D" w:rsidRDefault="00BC5284">
            <w:pPr>
              <w:pStyle w:val="TableText"/>
            </w:pPr>
            <w:r w:rsidRPr="00125A6D">
              <w:rPr>
                <w:rStyle w:val="TabletextBold"/>
                <w:rFonts w:cs="FreightSans Pro Bold"/>
                <w:bCs/>
              </w:rPr>
              <w:t>Council area (km^2)</w:t>
            </w:r>
          </w:p>
        </w:tc>
        <w:tc>
          <w:tcPr>
            <w:tcW w:w="967"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2398E3A3" w14:textId="77777777" w:rsidR="00BC5284" w:rsidRPr="00125A6D" w:rsidRDefault="00BC5284">
            <w:pPr>
              <w:pStyle w:val="TableText"/>
            </w:pPr>
            <w:r w:rsidRPr="00125A6D">
              <w:rPr>
                <w:rStyle w:val="TabletextBold"/>
                <w:rFonts w:cs="FreightSans Pro Bold"/>
                <w:bCs/>
              </w:rPr>
              <w:t>Council population (2018)</w:t>
            </w:r>
          </w:p>
        </w:tc>
        <w:tc>
          <w:tcPr>
            <w:tcW w:w="851"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3B61A34E" w14:textId="77777777" w:rsidR="00BC5284" w:rsidRPr="00125A6D" w:rsidRDefault="00BC5284">
            <w:pPr>
              <w:pStyle w:val="TableText"/>
            </w:pPr>
            <w:r w:rsidRPr="00125A6D">
              <w:rPr>
                <w:rStyle w:val="TabletextBold"/>
                <w:rFonts w:cs="FreightSans Pro Bold"/>
                <w:bCs/>
              </w:rPr>
              <w:t>Number of individual heritage places of state significance* (5/4/19)</w:t>
            </w:r>
          </w:p>
        </w:tc>
        <w:tc>
          <w:tcPr>
            <w:tcW w:w="709"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2BC2BEEE" w14:textId="77777777" w:rsidR="00BC5284" w:rsidRPr="00125A6D" w:rsidRDefault="00BC5284">
            <w:pPr>
              <w:pStyle w:val="TableText"/>
            </w:pPr>
            <w:r w:rsidRPr="00125A6D">
              <w:rPr>
                <w:rStyle w:val="TabletextBold"/>
                <w:rFonts w:cs="FreightSans Pro Bold"/>
                <w:bCs/>
              </w:rPr>
              <w:t>Number of individual heritage places of local significance (5/4/19)</w:t>
            </w:r>
          </w:p>
        </w:tc>
        <w:tc>
          <w:tcPr>
            <w:tcW w:w="708"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692370E6" w14:textId="77777777" w:rsidR="00BC5284" w:rsidRPr="00125A6D" w:rsidRDefault="00BC5284">
            <w:pPr>
              <w:pStyle w:val="TableText"/>
            </w:pPr>
            <w:r w:rsidRPr="00125A6D">
              <w:rPr>
                <w:rStyle w:val="TabletextBold"/>
                <w:rFonts w:cs="FreightSans Pro Bold"/>
                <w:bCs/>
              </w:rPr>
              <w:t xml:space="preserve">Total number of individual places </w:t>
            </w:r>
            <w:r w:rsidRPr="00125A6D">
              <w:rPr>
                <w:rStyle w:val="TabletextBold"/>
                <w:rFonts w:cs="FreightSans Pro Bold"/>
                <w:bCs/>
              </w:rPr>
              <w:br/>
              <w:t>(5/4/19)</w:t>
            </w:r>
          </w:p>
        </w:tc>
        <w:tc>
          <w:tcPr>
            <w:tcW w:w="709"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0FAF097D" w14:textId="77777777" w:rsidR="00BC5284" w:rsidRPr="00125A6D" w:rsidRDefault="00BC5284">
            <w:pPr>
              <w:pStyle w:val="TableText"/>
            </w:pPr>
            <w:r w:rsidRPr="00125A6D">
              <w:rPr>
                <w:rStyle w:val="TabletextBold"/>
                <w:rFonts w:cs="FreightSans Pro Bold"/>
                <w:bCs/>
              </w:rPr>
              <w:t>Total number of precinct places (5/4/19)</w:t>
            </w:r>
          </w:p>
        </w:tc>
        <w:tc>
          <w:tcPr>
            <w:tcW w:w="709"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490BC365" w14:textId="77777777" w:rsidR="00BC5284" w:rsidRPr="00125A6D" w:rsidRDefault="00BC5284">
            <w:pPr>
              <w:pStyle w:val="TableText"/>
            </w:pPr>
            <w:r w:rsidRPr="00125A6D">
              <w:rPr>
                <w:rStyle w:val="TabletextBold"/>
                <w:rFonts w:cs="FreightSans Pro Bold"/>
                <w:bCs/>
              </w:rPr>
              <w:t>Total number of heritage places (5/4/19)</w:t>
            </w:r>
          </w:p>
        </w:tc>
        <w:tc>
          <w:tcPr>
            <w:tcW w:w="709" w:type="dxa"/>
            <w:tcBorders>
              <w:top w:val="single" w:sz="2" w:space="0" w:color="auto"/>
              <w:left w:val="single" w:sz="2" w:space="0" w:color="auto"/>
              <w:bottom w:val="single" w:sz="2" w:space="0" w:color="auto"/>
              <w:right w:val="single" w:sz="2" w:space="0" w:color="auto"/>
            </w:tcBorders>
            <w:shd w:val="clear" w:color="313E48" w:fill="auto"/>
            <w:tcMar>
              <w:top w:w="80" w:type="dxa"/>
              <w:left w:w="80" w:type="dxa"/>
              <w:bottom w:w="80" w:type="dxa"/>
              <w:right w:w="80" w:type="dxa"/>
            </w:tcMar>
            <w:textDirection w:val="btLr"/>
          </w:tcPr>
          <w:p w14:paraId="6353E25D" w14:textId="77777777" w:rsidR="00BC5284" w:rsidRPr="00125A6D" w:rsidRDefault="00BC5284">
            <w:pPr>
              <w:pStyle w:val="TableText"/>
            </w:pPr>
            <w:r w:rsidRPr="00125A6D">
              <w:rPr>
                <w:rStyle w:val="TabletextBold"/>
                <w:rFonts w:cs="FreightSans Pro Bold"/>
                <w:bCs/>
              </w:rPr>
              <w:t>Total number of heritage properties (7/11/19)</w:t>
            </w:r>
          </w:p>
        </w:tc>
      </w:tr>
      <w:tr w:rsidR="00BC5284" w:rsidRPr="00BC5284" w14:paraId="7A3F406B" w14:textId="77777777" w:rsidTr="00125A6D">
        <w:trPr>
          <w:trHeight w:val="60"/>
        </w:trPr>
        <w:tc>
          <w:tcPr>
            <w:tcW w:w="2501"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7ABEF101" w14:textId="77777777" w:rsidR="00BC5284" w:rsidRPr="00BC5284" w:rsidRDefault="00BC5284">
            <w:pPr>
              <w:pStyle w:val="TableTextStocktake"/>
            </w:pPr>
            <w:r w:rsidRPr="00BC5284">
              <w:t>Bass Coast (S)</w:t>
            </w:r>
          </w:p>
        </w:tc>
        <w:tc>
          <w:tcPr>
            <w:tcW w:w="2111"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0A30A568" w14:textId="77777777" w:rsidR="00BC5284" w:rsidRPr="00BC5284" w:rsidRDefault="00BC5284">
            <w:pPr>
              <w:pStyle w:val="TableTextStocktake"/>
            </w:pPr>
            <w:r w:rsidRPr="00BC5284">
              <w:t>Rural Large</w:t>
            </w:r>
          </w:p>
        </w:tc>
        <w:tc>
          <w:tcPr>
            <w:tcW w:w="658"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07464BF2" w14:textId="77777777" w:rsidR="00BC5284" w:rsidRPr="00BC5284" w:rsidRDefault="00BC5284">
            <w:pPr>
              <w:pStyle w:val="TableTextStocktake"/>
              <w:jc w:val="right"/>
            </w:pPr>
            <w:r w:rsidRPr="00BC5284">
              <w:t>866</w:t>
            </w:r>
          </w:p>
        </w:tc>
        <w:tc>
          <w:tcPr>
            <w:tcW w:w="967"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2EDC2921" w14:textId="77777777" w:rsidR="00BC5284" w:rsidRPr="00BC5284" w:rsidRDefault="00BC5284">
            <w:pPr>
              <w:pStyle w:val="TableTextStocktake"/>
              <w:jc w:val="right"/>
            </w:pPr>
            <w:r w:rsidRPr="00BC5284">
              <w:t>35,327</w:t>
            </w:r>
          </w:p>
        </w:tc>
        <w:tc>
          <w:tcPr>
            <w:tcW w:w="851"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4F22A2E4" w14:textId="77777777" w:rsidR="00BC5284" w:rsidRPr="00BC5284" w:rsidRDefault="00BC5284">
            <w:pPr>
              <w:pStyle w:val="TableTextStocktake"/>
              <w:jc w:val="right"/>
            </w:pPr>
            <w:r w:rsidRPr="00BC5284">
              <w:t>7</w:t>
            </w:r>
          </w:p>
        </w:tc>
        <w:tc>
          <w:tcPr>
            <w:tcW w:w="709"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7ECFDEBD" w14:textId="77777777" w:rsidR="00BC5284" w:rsidRPr="00BC5284" w:rsidRDefault="00BC5284">
            <w:pPr>
              <w:pStyle w:val="TableTextStocktake"/>
              <w:jc w:val="right"/>
            </w:pPr>
            <w:r w:rsidRPr="00BC5284">
              <w:t>160</w:t>
            </w:r>
          </w:p>
        </w:tc>
        <w:tc>
          <w:tcPr>
            <w:tcW w:w="708"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07A0F7AB" w14:textId="77777777" w:rsidR="00BC5284" w:rsidRPr="00BC5284" w:rsidRDefault="00BC5284">
            <w:pPr>
              <w:pStyle w:val="TableTextStocktake"/>
              <w:jc w:val="right"/>
            </w:pPr>
            <w:r w:rsidRPr="00BC5284">
              <w:t>167</w:t>
            </w:r>
          </w:p>
        </w:tc>
        <w:tc>
          <w:tcPr>
            <w:tcW w:w="709"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454A0A1A" w14:textId="77777777" w:rsidR="00BC5284" w:rsidRPr="00BC5284" w:rsidRDefault="00BC5284">
            <w:pPr>
              <w:pStyle w:val="TableTextStocktake"/>
              <w:jc w:val="right"/>
            </w:pPr>
            <w:r w:rsidRPr="00BC5284">
              <w:t>4</w:t>
            </w:r>
          </w:p>
        </w:tc>
        <w:tc>
          <w:tcPr>
            <w:tcW w:w="709"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44725D03" w14:textId="77777777" w:rsidR="00BC5284" w:rsidRPr="00BC5284" w:rsidRDefault="00BC5284">
            <w:pPr>
              <w:pStyle w:val="TableTextStocktake"/>
              <w:jc w:val="right"/>
            </w:pPr>
            <w:r w:rsidRPr="00BC5284">
              <w:t>171</w:t>
            </w:r>
          </w:p>
        </w:tc>
        <w:tc>
          <w:tcPr>
            <w:tcW w:w="709" w:type="dxa"/>
            <w:tcBorders>
              <w:top w:val="single" w:sz="2" w:space="0" w:color="auto"/>
              <w:left w:val="single" w:sz="6" w:space="0" w:color="000000"/>
              <w:bottom w:val="single" w:sz="2" w:space="0" w:color="000000"/>
              <w:right w:val="single" w:sz="6" w:space="0" w:color="000000"/>
            </w:tcBorders>
            <w:tcMar>
              <w:top w:w="170" w:type="dxa"/>
              <w:left w:w="80" w:type="dxa"/>
              <w:bottom w:w="57" w:type="dxa"/>
              <w:right w:w="80" w:type="dxa"/>
            </w:tcMar>
          </w:tcPr>
          <w:p w14:paraId="7267268F" w14:textId="77777777" w:rsidR="00BC5284" w:rsidRPr="00BC5284" w:rsidRDefault="00BC5284">
            <w:pPr>
              <w:pStyle w:val="TableTextStocktake"/>
              <w:jc w:val="right"/>
            </w:pPr>
            <w:r w:rsidRPr="00BC5284">
              <w:t>463</w:t>
            </w:r>
          </w:p>
        </w:tc>
      </w:tr>
      <w:tr w:rsidR="00BC5284" w:rsidRPr="00BC5284" w14:paraId="16A2218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974E77" w14:textId="77777777" w:rsidR="00BC5284" w:rsidRPr="00BC5284" w:rsidRDefault="00BC5284">
            <w:pPr>
              <w:pStyle w:val="TableTextStocktake"/>
            </w:pPr>
            <w:r w:rsidRPr="00BC5284">
              <w:t>Baw Baw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AA2657"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8D9BCA" w14:textId="77777777" w:rsidR="00BC5284" w:rsidRPr="00BC5284" w:rsidRDefault="00BC5284">
            <w:pPr>
              <w:pStyle w:val="TableTextStocktake"/>
              <w:jc w:val="right"/>
            </w:pPr>
            <w:r w:rsidRPr="00BC5284">
              <w:t>4,028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9E7977" w14:textId="77777777" w:rsidR="00BC5284" w:rsidRPr="00BC5284" w:rsidRDefault="00BC5284">
            <w:pPr>
              <w:pStyle w:val="TableTextStocktake"/>
              <w:jc w:val="right"/>
            </w:pPr>
            <w:r w:rsidRPr="00BC5284">
              <w:t>52,015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A67EFA" w14:textId="77777777" w:rsidR="00BC5284" w:rsidRPr="00BC5284" w:rsidRDefault="00BC5284">
            <w:pPr>
              <w:pStyle w:val="TableTextStocktake"/>
              <w:jc w:val="right"/>
            </w:pPr>
            <w:r w:rsidRPr="00BC5284">
              <w:t>16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62383A" w14:textId="77777777" w:rsidR="00BC5284" w:rsidRPr="00BC5284" w:rsidRDefault="00BC5284">
            <w:pPr>
              <w:pStyle w:val="TableTextStocktake"/>
              <w:jc w:val="right"/>
            </w:pPr>
            <w:r w:rsidRPr="00BC5284">
              <w:t>303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13E921" w14:textId="77777777" w:rsidR="00BC5284" w:rsidRPr="00BC5284" w:rsidRDefault="00BC5284">
            <w:pPr>
              <w:pStyle w:val="TableTextStocktake"/>
              <w:jc w:val="right"/>
            </w:pPr>
            <w:r w:rsidRPr="00BC5284">
              <w:t>319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E36B95"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A30FBE" w14:textId="77777777" w:rsidR="00BC5284" w:rsidRPr="00BC5284" w:rsidRDefault="00BC5284">
            <w:pPr>
              <w:pStyle w:val="TableTextStocktake"/>
              <w:jc w:val="right"/>
            </w:pPr>
            <w:r w:rsidRPr="00BC5284">
              <w:t>329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9FB2FA" w14:textId="77777777" w:rsidR="00BC5284" w:rsidRPr="00BC5284" w:rsidRDefault="00BC5284">
            <w:pPr>
              <w:pStyle w:val="TableTextStocktake"/>
              <w:jc w:val="right"/>
            </w:pPr>
            <w:r w:rsidRPr="00BC5284">
              <w:t>843</w:t>
            </w:r>
          </w:p>
        </w:tc>
      </w:tr>
      <w:tr w:rsidR="00BC5284" w:rsidRPr="00BC5284" w14:paraId="613AA6A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EDD418" w14:textId="77777777" w:rsidR="00BC5284" w:rsidRPr="00BC5284" w:rsidRDefault="00BC5284">
            <w:pPr>
              <w:pStyle w:val="TableTextStocktake"/>
            </w:pPr>
            <w:r w:rsidRPr="00BC5284">
              <w:t>Campaspe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EE8D90"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B995EB" w14:textId="77777777" w:rsidR="00BC5284" w:rsidRPr="00BC5284" w:rsidRDefault="00BC5284">
            <w:pPr>
              <w:pStyle w:val="TableTextStocktake"/>
              <w:jc w:val="right"/>
            </w:pPr>
            <w:r w:rsidRPr="00BC5284">
              <w:t>4,519</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B93296" w14:textId="77777777" w:rsidR="00BC5284" w:rsidRPr="00BC5284" w:rsidRDefault="00BC5284">
            <w:pPr>
              <w:pStyle w:val="TableTextStocktake"/>
              <w:jc w:val="right"/>
            </w:pPr>
            <w:r w:rsidRPr="00BC5284">
              <w:t>37,592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D672A4" w14:textId="77777777" w:rsidR="00BC5284" w:rsidRPr="00BC5284" w:rsidRDefault="00BC5284">
            <w:pPr>
              <w:pStyle w:val="TableTextStocktake"/>
              <w:jc w:val="right"/>
            </w:pPr>
            <w:r w:rsidRPr="00BC5284">
              <w:t>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F8E8B9" w14:textId="77777777" w:rsidR="00BC5284" w:rsidRPr="00BC5284" w:rsidRDefault="00BC5284">
            <w:pPr>
              <w:pStyle w:val="TableTextStocktake"/>
              <w:jc w:val="right"/>
            </w:pPr>
            <w:r w:rsidRPr="00BC5284">
              <w:t>186</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04F7AB" w14:textId="77777777" w:rsidR="00BC5284" w:rsidRPr="00BC5284" w:rsidRDefault="00BC5284">
            <w:pPr>
              <w:pStyle w:val="TableTextStocktake"/>
              <w:jc w:val="right"/>
            </w:pPr>
            <w:r w:rsidRPr="00BC5284">
              <w:t>213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9E3BB4"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654767" w14:textId="77777777" w:rsidR="00BC5284" w:rsidRPr="00BC5284" w:rsidRDefault="00BC5284">
            <w:pPr>
              <w:pStyle w:val="TableTextStocktake"/>
              <w:jc w:val="right"/>
            </w:pPr>
            <w:r w:rsidRPr="00BC5284">
              <w:t>225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70FA2F" w14:textId="77777777" w:rsidR="00BC5284" w:rsidRPr="00BC5284" w:rsidRDefault="00BC5284">
            <w:pPr>
              <w:pStyle w:val="TableTextStocktake"/>
              <w:jc w:val="right"/>
            </w:pPr>
            <w:r w:rsidRPr="00BC5284">
              <w:t>1,214</w:t>
            </w:r>
          </w:p>
        </w:tc>
      </w:tr>
      <w:tr w:rsidR="00BC5284" w:rsidRPr="00BC5284" w14:paraId="6FFFD35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183CBF" w14:textId="77777777" w:rsidR="00BC5284" w:rsidRPr="00BC5284" w:rsidRDefault="00BC5284">
            <w:pPr>
              <w:pStyle w:val="TableTextStocktake"/>
            </w:pPr>
            <w:r w:rsidRPr="00BC5284">
              <w:t>Colac Otway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DF2A54"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67A22C" w14:textId="77777777" w:rsidR="00BC5284" w:rsidRPr="00BC5284" w:rsidRDefault="00BC5284">
            <w:pPr>
              <w:pStyle w:val="TableTextStocktake"/>
              <w:jc w:val="right"/>
            </w:pPr>
            <w:r w:rsidRPr="00BC5284">
              <w:t>3,438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C53AAA" w14:textId="77777777" w:rsidR="00BC5284" w:rsidRPr="00BC5284" w:rsidRDefault="00BC5284">
            <w:pPr>
              <w:pStyle w:val="TableTextStocktake"/>
              <w:jc w:val="right"/>
            </w:pPr>
            <w:r w:rsidRPr="00BC5284">
              <w:t>21,503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686CF0"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282395" w14:textId="77777777" w:rsidR="00BC5284" w:rsidRPr="00BC5284" w:rsidRDefault="00BC5284">
            <w:pPr>
              <w:pStyle w:val="TableTextStocktake"/>
              <w:jc w:val="right"/>
            </w:pPr>
            <w:r w:rsidRPr="00BC5284">
              <w:t>222</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E9D04A" w14:textId="77777777" w:rsidR="00BC5284" w:rsidRPr="00BC5284" w:rsidRDefault="00BC5284">
            <w:pPr>
              <w:pStyle w:val="TableTextStocktake"/>
              <w:jc w:val="right"/>
            </w:pPr>
            <w:r w:rsidRPr="00BC5284">
              <w:t>233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E87375"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A241C5" w14:textId="77777777" w:rsidR="00BC5284" w:rsidRPr="00BC5284" w:rsidRDefault="00BC5284">
            <w:pPr>
              <w:pStyle w:val="TableTextStocktake"/>
              <w:jc w:val="right"/>
            </w:pPr>
            <w:r w:rsidRPr="00BC5284">
              <w:t>245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C1FC7C" w14:textId="77777777" w:rsidR="00BC5284" w:rsidRPr="00BC5284" w:rsidRDefault="00BC5284">
            <w:pPr>
              <w:pStyle w:val="TableTextStocktake"/>
              <w:jc w:val="right"/>
            </w:pPr>
            <w:r w:rsidRPr="00BC5284">
              <w:t>914</w:t>
            </w:r>
          </w:p>
        </w:tc>
      </w:tr>
      <w:tr w:rsidR="00BC5284" w:rsidRPr="00BC5284" w14:paraId="681BFA70"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5AEC6C" w14:textId="77777777" w:rsidR="00BC5284" w:rsidRPr="00BC5284" w:rsidRDefault="00BC5284">
            <w:pPr>
              <w:pStyle w:val="TableTextStocktake"/>
            </w:pPr>
            <w:r w:rsidRPr="00BC5284">
              <w:t>Corangamite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2CB9FB"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E7CEB7" w14:textId="77777777" w:rsidR="00BC5284" w:rsidRPr="00BC5284" w:rsidRDefault="00BC5284">
            <w:pPr>
              <w:pStyle w:val="TableTextStocktake"/>
              <w:jc w:val="right"/>
            </w:pPr>
            <w:r w:rsidRPr="00BC5284">
              <w:t>4,408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F2181F" w14:textId="77777777" w:rsidR="00BC5284" w:rsidRPr="00BC5284" w:rsidRDefault="00BC5284">
            <w:pPr>
              <w:pStyle w:val="TableTextStocktake"/>
              <w:jc w:val="right"/>
            </w:pPr>
            <w:r w:rsidRPr="00BC5284">
              <w:t>16,140</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944EB3" w14:textId="77777777" w:rsidR="00BC5284" w:rsidRPr="00BC5284" w:rsidRDefault="00BC5284">
            <w:pPr>
              <w:pStyle w:val="TableTextStocktake"/>
              <w:jc w:val="right"/>
            </w:pPr>
            <w:r w:rsidRPr="00BC5284">
              <w:t>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9C2961" w14:textId="77777777" w:rsidR="00BC5284" w:rsidRPr="00BC5284" w:rsidRDefault="00BC5284">
            <w:pPr>
              <w:pStyle w:val="TableTextStocktake"/>
              <w:jc w:val="right"/>
            </w:pPr>
            <w:r w:rsidRPr="00BC5284">
              <w:t>229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EC4DD9" w14:textId="77777777" w:rsidR="00BC5284" w:rsidRPr="00BC5284" w:rsidRDefault="00BC5284">
            <w:pPr>
              <w:pStyle w:val="TableTextStocktake"/>
              <w:jc w:val="right"/>
            </w:pPr>
            <w:r w:rsidRPr="00BC5284">
              <w:t>254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734EFA"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A9C229" w14:textId="77777777" w:rsidR="00BC5284" w:rsidRPr="00BC5284" w:rsidRDefault="00BC5284">
            <w:pPr>
              <w:pStyle w:val="TableTextStocktake"/>
              <w:jc w:val="right"/>
            </w:pPr>
            <w:r w:rsidRPr="00BC5284">
              <w:t>266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8A639A" w14:textId="77777777" w:rsidR="00BC5284" w:rsidRPr="00BC5284" w:rsidRDefault="00BC5284">
            <w:pPr>
              <w:pStyle w:val="TableTextStocktake"/>
              <w:jc w:val="right"/>
            </w:pPr>
            <w:r w:rsidRPr="00BC5284">
              <w:t>725</w:t>
            </w:r>
          </w:p>
        </w:tc>
      </w:tr>
      <w:tr w:rsidR="00BC5284" w:rsidRPr="00BC5284" w14:paraId="5B9CC33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637F52" w14:textId="77777777" w:rsidR="00BC5284" w:rsidRPr="00BC5284" w:rsidRDefault="00BC5284">
            <w:pPr>
              <w:pStyle w:val="TableTextStocktake"/>
            </w:pPr>
            <w:r w:rsidRPr="00BC5284">
              <w:t>East Gippsland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181E17"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474620" w14:textId="77777777" w:rsidR="00BC5284" w:rsidRPr="00BC5284" w:rsidRDefault="00BC5284">
            <w:pPr>
              <w:pStyle w:val="TableTextStocktake"/>
              <w:jc w:val="right"/>
            </w:pPr>
            <w:r w:rsidRPr="00BC5284">
              <w:t>20,940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5A1770" w14:textId="77777777" w:rsidR="00BC5284" w:rsidRPr="00BC5284" w:rsidRDefault="00BC5284">
            <w:pPr>
              <w:pStyle w:val="TableTextStocktake"/>
              <w:jc w:val="right"/>
            </w:pPr>
            <w:r w:rsidRPr="00BC5284">
              <w:t>46,818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41E70D" w14:textId="77777777" w:rsidR="00BC5284" w:rsidRPr="00BC5284" w:rsidRDefault="00BC5284">
            <w:pPr>
              <w:pStyle w:val="TableTextStocktake"/>
              <w:jc w:val="right"/>
            </w:pPr>
            <w:r w:rsidRPr="00BC5284">
              <w:t>32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499C82" w14:textId="77777777" w:rsidR="00BC5284" w:rsidRPr="00BC5284" w:rsidRDefault="00BC5284">
            <w:pPr>
              <w:pStyle w:val="TableTextStocktake"/>
              <w:jc w:val="right"/>
            </w:pPr>
            <w:r w:rsidRPr="00BC5284">
              <w:t>249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062FAC" w14:textId="77777777" w:rsidR="00BC5284" w:rsidRPr="00BC5284" w:rsidRDefault="00BC5284">
            <w:pPr>
              <w:pStyle w:val="TableTextStocktake"/>
              <w:jc w:val="right"/>
            </w:pPr>
            <w:r w:rsidRPr="00BC5284">
              <w:t>281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5FB8DE"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43FF41" w14:textId="77777777" w:rsidR="00BC5284" w:rsidRPr="00BC5284" w:rsidRDefault="00BC5284">
            <w:pPr>
              <w:pStyle w:val="TableTextStocktake"/>
              <w:jc w:val="right"/>
            </w:pPr>
            <w:r w:rsidRPr="00BC5284">
              <w:t>282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A43BF3" w14:textId="77777777" w:rsidR="00BC5284" w:rsidRPr="00BC5284" w:rsidRDefault="00BC5284">
            <w:pPr>
              <w:pStyle w:val="TableTextStocktake"/>
              <w:jc w:val="right"/>
            </w:pPr>
            <w:r w:rsidRPr="00BC5284">
              <w:t>480</w:t>
            </w:r>
          </w:p>
        </w:tc>
      </w:tr>
      <w:tr w:rsidR="00BC5284" w:rsidRPr="00BC5284" w14:paraId="6BD37CA6"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FA5BEB" w14:textId="77777777" w:rsidR="00BC5284" w:rsidRPr="00BC5284" w:rsidRDefault="00BC5284">
            <w:pPr>
              <w:pStyle w:val="TableTextStocktake"/>
            </w:pPr>
            <w:r w:rsidRPr="00BC5284">
              <w:t>Glenelg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A503AA"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8A5A90" w14:textId="77777777" w:rsidR="00BC5284" w:rsidRPr="00BC5284" w:rsidRDefault="00BC5284">
            <w:pPr>
              <w:pStyle w:val="TableTextStocktake"/>
              <w:jc w:val="right"/>
            </w:pPr>
            <w:r w:rsidRPr="00BC5284">
              <w:t>6,219</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C11CEE" w14:textId="77777777" w:rsidR="00BC5284" w:rsidRPr="00BC5284" w:rsidRDefault="00BC5284">
            <w:pPr>
              <w:pStyle w:val="TableTextStocktake"/>
              <w:jc w:val="right"/>
            </w:pPr>
            <w:r w:rsidRPr="00BC5284">
              <w:t>19,665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7FAF66" w14:textId="77777777" w:rsidR="00BC5284" w:rsidRPr="00BC5284" w:rsidRDefault="00BC5284">
            <w:pPr>
              <w:pStyle w:val="TableTextStocktake"/>
              <w:jc w:val="right"/>
            </w:pPr>
            <w:r w:rsidRPr="00BC5284">
              <w:t>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78CD32" w14:textId="77777777" w:rsidR="00BC5284" w:rsidRPr="00BC5284" w:rsidRDefault="00BC5284">
            <w:pPr>
              <w:pStyle w:val="TableTextStocktake"/>
              <w:jc w:val="right"/>
            </w:pPr>
            <w:r w:rsidRPr="00BC5284">
              <w:t>239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64DBCC" w14:textId="77777777" w:rsidR="00BC5284" w:rsidRPr="00BC5284" w:rsidRDefault="00BC5284">
            <w:pPr>
              <w:pStyle w:val="TableTextStocktake"/>
              <w:jc w:val="right"/>
            </w:pPr>
            <w:r w:rsidRPr="00BC5284">
              <w:t>272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50D26A"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A4F3EA" w14:textId="77777777" w:rsidR="00BC5284" w:rsidRPr="00BC5284" w:rsidRDefault="00BC5284">
            <w:pPr>
              <w:pStyle w:val="TableTextStocktake"/>
              <w:jc w:val="right"/>
            </w:pPr>
            <w:r w:rsidRPr="00BC5284">
              <w:t>282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2E35D2" w14:textId="77777777" w:rsidR="00BC5284" w:rsidRPr="00BC5284" w:rsidRDefault="00BC5284">
            <w:pPr>
              <w:pStyle w:val="TableTextStocktake"/>
              <w:jc w:val="right"/>
            </w:pPr>
            <w:r w:rsidRPr="00BC5284">
              <w:t>985</w:t>
            </w:r>
          </w:p>
        </w:tc>
      </w:tr>
      <w:tr w:rsidR="00BC5284" w:rsidRPr="00BC5284" w14:paraId="651231C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61D176" w14:textId="77777777" w:rsidR="00BC5284" w:rsidRPr="00BC5284" w:rsidRDefault="00BC5284">
            <w:pPr>
              <w:pStyle w:val="TableTextStocktake"/>
            </w:pPr>
            <w:r w:rsidRPr="00BC5284">
              <w:t>Golden Plains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AD57BC"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0BA628" w14:textId="77777777" w:rsidR="00BC5284" w:rsidRPr="00BC5284" w:rsidRDefault="00BC5284">
            <w:pPr>
              <w:pStyle w:val="TableTextStocktake"/>
              <w:jc w:val="right"/>
            </w:pPr>
            <w:r w:rsidRPr="00BC5284">
              <w:t>2,703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F224B8" w14:textId="77777777" w:rsidR="00BC5284" w:rsidRPr="00BC5284" w:rsidRDefault="00BC5284">
            <w:pPr>
              <w:pStyle w:val="TableTextStocktake"/>
              <w:jc w:val="right"/>
            </w:pPr>
            <w:r w:rsidRPr="00BC5284">
              <w:t>23,120</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779F08" w14:textId="77777777" w:rsidR="00BC5284" w:rsidRPr="00BC5284" w:rsidRDefault="00BC5284">
            <w:pPr>
              <w:pStyle w:val="TableTextStocktake"/>
              <w:jc w:val="right"/>
            </w:pPr>
            <w:r w:rsidRPr="00BC5284">
              <w:t>20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1CB6DF" w14:textId="77777777" w:rsidR="00BC5284" w:rsidRPr="00BC5284" w:rsidRDefault="00BC5284">
            <w:pPr>
              <w:pStyle w:val="TableTextStocktake"/>
              <w:jc w:val="right"/>
            </w:pPr>
            <w:r w:rsidRPr="00BC5284">
              <w:t>114</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A04EFE" w14:textId="77777777" w:rsidR="00BC5284" w:rsidRPr="00BC5284" w:rsidRDefault="00BC5284">
            <w:pPr>
              <w:pStyle w:val="TableTextStocktake"/>
              <w:jc w:val="right"/>
            </w:pPr>
            <w:r w:rsidRPr="00BC5284">
              <w:t>134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035923"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7F7F17" w14:textId="77777777" w:rsidR="00BC5284" w:rsidRPr="00BC5284" w:rsidRDefault="00BC5284">
            <w:pPr>
              <w:pStyle w:val="TableTextStocktake"/>
              <w:jc w:val="right"/>
            </w:pPr>
            <w:r w:rsidRPr="00BC5284">
              <w:t>146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3B53FF" w14:textId="77777777" w:rsidR="00BC5284" w:rsidRPr="00BC5284" w:rsidRDefault="00BC5284">
            <w:pPr>
              <w:pStyle w:val="TableTextStocktake"/>
              <w:jc w:val="right"/>
            </w:pPr>
            <w:r w:rsidRPr="00BC5284">
              <w:t>559</w:t>
            </w:r>
          </w:p>
        </w:tc>
      </w:tr>
      <w:tr w:rsidR="00BC5284" w:rsidRPr="00BC5284" w14:paraId="3A140CEA"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0C9ED3" w14:textId="77777777" w:rsidR="00BC5284" w:rsidRPr="00BC5284" w:rsidRDefault="00BC5284">
            <w:pPr>
              <w:pStyle w:val="TableTextStocktake"/>
            </w:pPr>
            <w:r w:rsidRPr="00BC5284">
              <w:t>Hepburn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35BDF9"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C5D194" w14:textId="77777777" w:rsidR="00BC5284" w:rsidRPr="00BC5284" w:rsidRDefault="00BC5284">
            <w:pPr>
              <w:pStyle w:val="TableTextStocktake"/>
              <w:jc w:val="right"/>
            </w:pPr>
            <w:r w:rsidRPr="00BC5284">
              <w:t>1,473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05BF42" w14:textId="77777777" w:rsidR="00BC5284" w:rsidRPr="00BC5284" w:rsidRDefault="00BC5284">
            <w:pPr>
              <w:pStyle w:val="TableTextStocktake"/>
              <w:jc w:val="right"/>
            </w:pPr>
            <w:r w:rsidRPr="00BC5284">
              <w:t>15,812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870C11" w14:textId="77777777" w:rsidR="00BC5284" w:rsidRPr="00BC5284" w:rsidRDefault="00BC5284">
            <w:pPr>
              <w:pStyle w:val="TableTextStocktake"/>
              <w:jc w:val="right"/>
            </w:pPr>
            <w:r w:rsidRPr="00BC5284">
              <w:t>43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E69E6C" w14:textId="77777777" w:rsidR="00BC5284" w:rsidRPr="00BC5284" w:rsidRDefault="00BC5284">
            <w:pPr>
              <w:pStyle w:val="TableTextStocktake"/>
              <w:jc w:val="right"/>
            </w:pPr>
            <w:r w:rsidRPr="00BC5284">
              <w:t>836</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558828E" w14:textId="77777777" w:rsidR="00BC5284" w:rsidRPr="00BC5284" w:rsidRDefault="00BC5284">
            <w:pPr>
              <w:pStyle w:val="TableTextStocktake"/>
              <w:jc w:val="right"/>
            </w:pPr>
            <w:r w:rsidRPr="00BC5284">
              <w:t>879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956769"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AD2194" w14:textId="77777777" w:rsidR="00BC5284" w:rsidRPr="00BC5284" w:rsidRDefault="00BC5284">
            <w:pPr>
              <w:pStyle w:val="TableTextStocktake"/>
              <w:jc w:val="right"/>
            </w:pPr>
            <w:r w:rsidRPr="00BC5284">
              <w:t>891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EDFD1C" w14:textId="77777777" w:rsidR="00BC5284" w:rsidRPr="00BC5284" w:rsidRDefault="00BC5284">
            <w:pPr>
              <w:pStyle w:val="TableTextStocktake"/>
              <w:jc w:val="right"/>
            </w:pPr>
            <w:r w:rsidRPr="00BC5284">
              <w:t>1,866</w:t>
            </w:r>
          </w:p>
        </w:tc>
      </w:tr>
      <w:tr w:rsidR="00BC5284" w:rsidRPr="00BC5284" w14:paraId="7FE0B900"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403CA8" w14:textId="77777777" w:rsidR="00BC5284" w:rsidRPr="00BC5284" w:rsidRDefault="00BC5284">
            <w:pPr>
              <w:pStyle w:val="TableTextStocktake"/>
            </w:pPr>
            <w:r w:rsidRPr="00BC5284">
              <w:t>Indigo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63D617"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192120" w14:textId="77777777" w:rsidR="00BC5284" w:rsidRPr="00BC5284" w:rsidRDefault="00BC5284">
            <w:pPr>
              <w:pStyle w:val="TableTextStocktake"/>
              <w:jc w:val="right"/>
            </w:pPr>
            <w:r w:rsidRPr="00BC5284">
              <w:t>2,040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5188A56" w14:textId="77777777" w:rsidR="00BC5284" w:rsidRPr="00BC5284" w:rsidRDefault="00BC5284">
            <w:pPr>
              <w:pStyle w:val="TableTextStocktake"/>
              <w:jc w:val="right"/>
            </w:pPr>
            <w:r w:rsidRPr="00BC5284">
              <w:t>16,490</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7FEA8B" w14:textId="77777777" w:rsidR="00BC5284" w:rsidRPr="00BC5284" w:rsidRDefault="00BC5284">
            <w:pPr>
              <w:pStyle w:val="TableTextStocktake"/>
              <w:jc w:val="right"/>
            </w:pPr>
            <w:r w:rsidRPr="00BC5284">
              <w:t>48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55C684" w14:textId="77777777" w:rsidR="00BC5284" w:rsidRPr="00BC5284" w:rsidRDefault="00BC5284">
            <w:pPr>
              <w:pStyle w:val="TableTextStocktake"/>
              <w:jc w:val="right"/>
            </w:pPr>
            <w:r w:rsidRPr="00BC5284">
              <w:t>679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AD7EA2" w14:textId="77777777" w:rsidR="00BC5284" w:rsidRPr="00BC5284" w:rsidRDefault="00BC5284">
            <w:pPr>
              <w:pStyle w:val="TableTextStocktake"/>
              <w:jc w:val="right"/>
            </w:pPr>
            <w:r w:rsidRPr="00BC5284">
              <w:t>727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DFEE08"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BB994C" w14:textId="77777777" w:rsidR="00BC5284" w:rsidRPr="00BC5284" w:rsidRDefault="00BC5284">
            <w:pPr>
              <w:pStyle w:val="TableTextStocktake"/>
              <w:jc w:val="right"/>
            </w:pPr>
            <w:r w:rsidRPr="00BC5284">
              <w:t>730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F4E421" w14:textId="77777777" w:rsidR="00BC5284" w:rsidRPr="00BC5284" w:rsidRDefault="00BC5284">
            <w:pPr>
              <w:pStyle w:val="TableTextStocktake"/>
              <w:jc w:val="right"/>
            </w:pPr>
            <w:r w:rsidRPr="00BC5284">
              <w:t>1,566</w:t>
            </w:r>
          </w:p>
        </w:tc>
      </w:tr>
      <w:tr w:rsidR="00BC5284" w:rsidRPr="00BC5284" w14:paraId="791CA25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262E3B" w14:textId="77777777" w:rsidR="00BC5284" w:rsidRPr="00BC5284" w:rsidRDefault="00BC5284">
            <w:pPr>
              <w:pStyle w:val="TableTextStocktake"/>
            </w:pPr>
            <w:r w:rsidRPr="00BC5284">
              <w:t>Macedon Ranges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C889BE"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58FEB0" w14:textId="77777777" w:rsidR="00BC5284" w:rsidRPr="00BC5284" w:rsidRDefault="00BC5284">
            <w:pPr>
              <w:pStyle w:val="TableTextStocktake"/>
              <w:jc w:val="right"/>
            </w:pPr>
            <w:r w:rsidRPr="00BC5284">
              <w:t>1,748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2F7669" w14:textId="77777777" w:rsidR="00BC5284" w:rsidRPr="00BC5284" w:rsidRDefault="00BC5284">
            <w:pPr>
              <w:pStyle w:val="TableTextStocktake"/>
              <w:jc w:val="right"/>
            </w:pPr>
            <w:r w:rsidRPr="00BC5284">
              <w:t>49,388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DE7722" w14:textId="77777777" w:rsidR="00BC5284" w:rsidRPr="00BC5284" w:rsidRDefault="00BC5284">
            <w:pPr>
              <w:pStyle w:val="TableTextStocktake"/>
              <w:jc w:val="right"/>
            </w:pPr>
            <w:r w:rsidRPr="00BC5284">
              <w:t>48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8D16CA" w14:textId="77777777" w:rsidR="00BC5284" w:rsidRPr="00BC5284" w:rsidRDefault="00BC5284">
            <w:pPr>
              <w:pStyle w:val="TableTextStocktake"/>
              <w:jc w:val="right"/>
            </w:pPr>
            <w:r w:rsidRPr="00BC5284">
              <w:t>250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B00925" w14:textId="77777777" w:rsidR="00BC5284" w:rsidRPr="00BC5284" w:rsidRDefault="00BC5284">
            <w:pPr>
              <w:pStyle w:val="TableTextStocktake"/>
              <w:jc w:val="right"/>
            </w:pPr>
            <w:r w:rsidRPr="00BC5284">
              <w:t>298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5B880A"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7EB8EF" w14:textId="77777777" w:rsidR="00BC5284" w:rsidRPr="00BC5284" w:rsidRDefault="00BC5284">
            <w:pPr>
              <w:pStyle w:val="TableTextStocktake"/>
              <w:jc w:val="right"/>
            </w:pPr>
            <w:r w:rsidRPr="00BC5284">
              <w:t>310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895F5F" w14:textId="77777777" w:rsidR="00BC5284" w:rsidRPr="00BC5284" w:rsidRDefault="00BC5284">
            <w:pPr>
              <w:pStyle w:val="TableTextStocktake"/>
              <w:jc w:val="right"/>
            </w:pPr>
            <w:r w:rsidRPr="00BC5284">
              <w:t>1,707</w:t>
            </w:r>
          </w:p>
        </w:tc>
      </w:tr>
      <w:tr w:rsidR="00BC5284" w:rsidRPr="00BC5284" w14:paraId="10D72C4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8CD3D9" w14:textId="77777777" w:rsidR="00BC5284" w:rsidRPr="00BC5284" w:rsidRDefault="00BC5284">
            <w:pPr>
              <w:pStyle w:val="TableTextStocktake"/>
            </w:pPr>
            <w:r w:rsidRPr="00BC5284">
              <w:t>Mitchell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A80991"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83E26F" w14:textId="77777777" w:rsidR="00BC5284" w:rsidRPr="00BC5284" w:rsidRDefault="00BC5284">
            <w:pPr>
              <w:pStyle w:val="TableTextStocktake"/>
              <w:jc w:val="right"/>
            </w:pPr>
            <w:r w:rsidRPr="00BC5284">
              <w:t>2,862</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927F3C" w14:textId="77777777" w:rsidR="00BC5284" w:rsidRPr="00BC5284" w:rsidRDefault="00BC5284">
            <w:pPr>
              <w:pStyle w:val="TableTextStocktake"/>
              <w:jc w:val="right"/>
            </w:pPr>
            <w:r w:rsidRPr="00BC5284">
              <w:t>44,299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280282" w14:textId="77777777" w:rsidR="00BC5284" w:rsidRPr="00BC5284" w:rsidRDefault="00BC5284">
            <w:pPr>
              <w:pStyle w:val="TableTextStocktake"/>
              <w:jc w:val="right"/>
            </w:pPr>
            <w:r w:rsidRPr="00BC5284">
              <w:t>22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F4E34E" w14:textId="77777777" w:rsidR="00BC5284" w:rsidRPr="00BC5284" w:rsidRDefault="00BC5284">
            <w:pPr>
              <w:pStyle w:val="TableTextStocktake"/>
              <w:jc w:val="right"/>
            </w:pPr>
            <w:r w:rsidRPr="00BC5284">
              <w:t>160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C11C5F" w14:textId="77777777" w:rsidR="00BC5284" w:rsidRPr="00BC5284" w:rsidRDefault="00BC5284">
            <w:pPr>
              <w:pStyle w:val="TableTextStocktake"/>
              <w:jc w:val="right"/>
            </w:pPr>
            <w:r w:rsidRPr="00BC5284">
              <w:t>182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6A5E13" w14:textId="77777777" w:rsidR="00BC5284" w:rsidRPr="00BC5284" w:rsidRDefault="00BC5284">
            <w:pPr>
              <w:pStyle w:val="TableTextStocktake"/>
              <w:jc w:val="right"/>
            </w:pPr>
            <w:r w:rsidRPr="00BC5284">
              <w:t>14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A7D897" w14:textId="77777777" w:rsidR="00BC5284" w:rsidRPr="00BC5284" w:rsidRDefault="00BC5284">
            <w:pPr>
              <w:pStyle w:val="TableTextStocktake"/>
              <w:jc w:val="right"/>
            </w:pPr>
            <w:r w:rsidRPr="00BC5284">
              <w:t>196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2D02F5" w14:textId="77777777" w:rsidR="00BC5284" w:rsidRPr="00BC5284" w:rsidRDefault="00BC5284">
            <w:pPr>
              <w:pStyle w:val="TableTextStocktake"/>
              <w:jc w:val="right"/>
            </w:pPr>
            <w:r w:rsidRPr="00BC5284">
              <w:t>1,035</w:t>
            </w:r>
          </w:p>
        </w:tc>
      </w:tr>
      <w:tr w:rsidR="00BC5284" w:rsidRPr="00BC5284" w14:paraId="3F4DDFF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CA46E8" w14:textId="77777777" w:rsidR="00BC5284" w:rsidRPr="00BC5284" w:rsidRDefault="00BC5284">
            <w:pPr>
              <w:pStyle w:val="TableTextStocktake"/>
            </w:pPr>
            <w:r w:rsidRPr="00BC5284">
              <w:t>Moira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0F0514"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429F16" w14:textId="77777777" w:rsidR="00BC5284" w:rsidRPr="00BC5284" w:rsidRDefault="00BC5284">
            <w:pPr>
              <w:pStyle w:val="TableTextStocktake"/>
              <w:jc w:val="right"/>
            </w:pPr>
            <w:r w:rsidRPr="00BC5284">
              <w:t>4,046</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DE127D" w14:textId="77777777" w:rsidR="00BC5284" w:rsidRPr="00BC5284" w:rsidRDefault="00BC5284">
            <w:pPr>
              <w:pStyle w:val="TableTextStocktake"/>
              <w:jc w:val="right"/>
            </w:pPr>
            <w:r w:rsidRPr="00BC5284">
              <w:t>29,799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783D38" w14:textId="77777777" w:rsidR="00BC5284" w:rsidRPr="00BC5284" w:rsidRDefault="00BC5284">
            <w:pPr>
              <w:pStyle w:val="TableTextStocktake"/>
              <w:jc w:val="right"/>
            </w:pPr>
            <w:r w:rsidRPr="00BC5284">
              <w:t>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D17845" w14:textId="77777777" w:rsidR="00BC5284" w:rsidRPr="00BC5284" w:rsidRDefault="00BC5284">
            <w:pPr>
              <w:pStyle w:val="TableTextStocktake"/>
              <w:jc w:val="right"/>
            </w:pPr>
            <w:r w:rsidRPr="00BC5284">
              <w:t>150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FFAA42" w14:textId="77777777" w:rsidR="00BC5284" w:rsidRPr="00BC5284" w:rsidRDefault="00BC5284">
            <w:pPr>
              <w:pStyle w:val="TableTextStocktake"/>
              <w:jc w:val="right"/>
            </w:pPr>
            <w:r w:rsidRPr="00BC5284">
              <w:t>158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3392D8" w14:textId="77777777" w:rsidR="00BC5284" w:rsidRPr="00BC5284" w:rsidRDefault="00BC5284">
            <w:pPr>
              <w:pStyle w:val="TableTextStocktake"/>
              <w:jc w:val="right"/>
            </w:pPr>
            <w:r w:rsidRPr="00BC5284">
              <w:t>15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9565D4" w14:textId="77777777" w:rsidR="00BC5284" w:rsidRPr="00BC5284" w:rsidRDefault="00BC5284">
            <w:pPr>
              <w:pStyle w:val="TableTextStocktake"/>
              <w:jc w:val="right"/>
            </w:pPr>
            <w:r w:rsidRPr="00BC5284">
              <w:t>173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702525" w14:textId="77777777" w:rsidR="00BC5284" w:rsidRPr="00BC5284" w:rsidRDefault="00BC5284">
            <w:pPr>
              <w:pStyle w:val="TableTextStocktake"/>
              <w:jc w:val="right"/>
            </w:pPr>
            <w:r w:rsidRPr="00BC5284">
              <w:t>1,375</w:t>
            </w:r>
          </w:p>
        </w:tc>
      </w:tr>
      <w:tr w:rsidR="00BC5284" w:rsidRPr="00BC5284" w14:paraId="08F3DDB0"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952926" w14:textId="77777777" w:rsidR="00BC5284" w:rsidRPr="00BC5284" w:rsidRDefault="00BC5284">
            <w:pPr>
              <w:pStyle w:val="TableTextStocktake"/>
            </w:pPr>
            <w:r w:rsidRPr="00BC5284">
              <w:t>Moorabool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584F4D"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E7152B" w14:textId="77777777" w:rsidR="00BC5284" w:rsidRPr="00BC5284" w:rsidRDefault="00BC5284">
            <w:pPr>
              <w:pStyle w:val="TableTextStocktake"/>
              <w:jc w:val="right"/>
            </w:pPr>
            <w:r w:rsidRPr="00BC5284">
              <w:t>2,111</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23BE15" w14:textId="77777777" w:rsidR="00BC5284" w:rsidRPr="00BC5284" w:rsidRDefault="00BC5284">
            <w:pPr>
              <w:pStyle w:val="TableTextStocktake"/>
              <w:jc w:val="right"/>
            </w:pPr>
            <w:r w:rsidRPr="00BC5284">
              <w:t>34,158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3FEC98" w14:textId="77777777" w:rsidR="00BC5284" w:rsidRPr="00BC5284" w:rsidRDefault="00BC5284">
            <w:pPr>
              <w:pStyle w:val="TableTextStocktake"/>
              <w:jc w:val="right"/>
            </w:pPr>
            <w:r w:rsidRPr="00BC5284">
              <w:t>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644933" w14:textId="77777777" w:rsidR="00BC5284" w:rsidRPr="00BC5284" w:rsidRDefault="00BC5284">
            <w:pPr>
              <w:pStyle w:val="TableTextStocktake"/>
              <w:jc w:val="right"/>
            </w:pPr>
            <w:r w:rsidRPr="00BC5284">
              <w:t>157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591C65" w14:textId="77777777" w:rsidR="00BC5284" w:rsidRPr="00BC5284" w:rsidRDefault="00BC5284">
            <w:pPr>
              <w:pStyle w:val="TableTextStocktake"/>
              <w:jc w:val="right"/>
            </w:pPr>
            <w:r w:rsidRPr="00BC5284">
              <w:t>182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A313A0"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34BF29" w14:textId="77777777" w:rsidR="00BC5284" w:rsidRPr="00BC5284" w:rsidRDefault="00BC5284">
            <w:pPr>
              <w:pStyle w:val="TableTextStocktake"/>
              <w:jc w:val="right"/>
            </w:pPr>
            <w:r w:rsidRPr="00BC5284">
              <w:t>182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966029" w14:textId="77777777" w:rsidR="00BC5284" w:rsidRPr="00BC5284" w:rsidRDefault="00BC5284">
            <w:pPr>
              <w:pStyle w:val="TableTextStocktake"/>
              <w:jc w:val="right"/>
            </w:pPr>
            <w:r w:rsidRPr="00BC5284">
              <w:t>335</w:t>
            </w:r>
          </w:p>
        </w:tc>
      </w:tr>
      <w:tr w:rsidR="00BC5284" w:rsidRPr="00BC5284" w14:paraId="5F88E67C"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8C65C8" w14:textId="77777777" w:rsidR="00BC5284" w:rsidRPr="00BC5284" w:rsidRDefault="00BC5284">
            <w:pPr>
              <w:pStyle w:val="TableTextStocktake"/>
            </w:pPr>
            <w:r w:rsidRPr="00BC5284">
              <w:t>Mount Alexander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297004"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BB126F" w14:textId="77777777" w:rsidR="00BC5284" w:rsidRPr="00BC5284" w:rsidRDefault="00BC5284">
            <w:pPr>
              <w:pStyle w:val="TableTextStocktake"/>
              <w:jc w:val="right"/>
            </w:pPr>
            <w:r w:rsidRPr="00BC5284">
              <w:t>1,530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BF0305" w14:textId="77777777" w:rsidR="00BC5284" w:rsidRPr="00BC5284" w:rsidRDefault="00BC5284">
            <w:pPr>
              <w:pStyle w:val="TableTextStocktake"/>
              <w:jc w:val="right"/>
            </w:pPr>
            <w:r w:rsidRPr="00BC5284">
              <w:t>19,514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E3905C" w14:textId="77777777" w:rsidR="00BC5284" w:rsidRPr="00BC5284" w:rsidRDefault="00BC5284">
            <w:pPr>
              <w:pStyle w:val="TableTextStocktake"/>
              <w:jc w:val="right"/>
            </w:pPr>
            <w:r w:rsidRPr="00BC5284">
              <w:t>117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260670" w14:textId="77777777" w:rsidR="00BC5284" w:rsidRPr="00BC5284" w:rsidRDefault="00BC5284">
            <w:pPr>
              <w:pStyle w:val="TableTextStocktake"/>
              <w:jc w:val="right"/>
            </w:pPr>
            <w:r w:rsidRPr="00BC5284">
              <w:t>1,039</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D201E8" w14:textId="77777777" w:rsidR="00BC5284" w:rsidRPr="00BC5284" w:rsidRDefault="00BC5284">
            <w:pPr>
              <w:pStyle w:val="TableTextStocktake"/>
              <w:jc w:val="right"/>
            </w:pPr>
            <w:r w:rsidRPr="00BC5284">
              <w:t>1,156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9FE7A4" w14:textId="77777777" w:rsidR="00BC5284" w:rsidRPr="00BC5284" w:rsidRDefault="00BC5284">
            <w:pPr>
              <w:pStyle w:val="TableTextStocktake"/>
              <w:jc w:val="right"/>
            </w:pPr>
            <w:r w:rsidRPr="00BC5284">
              <w:t>17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86478F" w14:textId="77777777" w:rsidR="00BC5284" w:rsidRPr="00BC5284" w:rsidRDefault="00BC5284">
            <w:pPr>
              <w:pStyle w:val="TableTextStocktake"/>
              <w:jc w:val="right"/>
            </w:pPr>
            <w:r w:rsidRPr="00BC5284">
              <w:t>1,173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740FA4" w14:textId="77777777" w:rsidR="00BC5284" w:rsidRPr="00BC5284" w:rsidRDefault="00BC5284">
            <w:pPr>
              <w:pStyle w:val="TableTextStocktake"/>
              <w:jc w:val="right"/>
            </w:pPr>
            <w:r w:rsidRPr="00BC5284">
              <w:t>2,848</w:t>
            </w:r>
          </w:p>
        </w:tc>
      </w:tr>
      <w:tr w:rsidR="00BC5284" w:rsidRPr="00BC5284" w14:paraId="04A72D4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FF1012" w14:textId="77777777" w:rsidR="00BC5284" w:rsidRPr="00BC5284" w:rsidRDefault="00BC5284">
            <w:pPr>
              <w:pStyle w:val="TableTextStocktake"/>
            </w:pPr>
            <w:r w:rsidRPr="00BC5284">
              <w:t>Moyne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184107"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83961E" w14:textId="77777777" w:rsidR="00BC5284" w:rsidRPr="00BC5284" w:rsidRDefault="00BC5284">
            <w:pPr>
              <w:pStyle w:val="TableTextStocktake"/>
              <w:jc w:val="right"/>
            </w:pPr>
            <w:r w:rsidRPr="00BC5284">
              <w:t>5,482</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22B7F2" w14:textId="77777777" w:rsidR="00BC5284" w:rsidRPr="00BC5284" w:rsidRDefault="00BC5284">
            <w:pPr>
              <w:pStyle w:val="TableTextStocktake"/>
              <w:jc w:val="right"/>
            </w:pPr>
            <w:r w:rsidRPr="00BC5284">
              <w:t>16,887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F7777B" w14:textId="77777777" w:rsidR="00BC5284" w:rsidRPr="00BC5284" w:rsidRDefault="00BC5284">
            <w:pPr>
              <w:pStyle w:val="TableTextStocktake"/>
              <w:jc w:val="right"/>
            </w:pPr>
            <w:r w:rsidRPr="00BC5284">
              <w:t>42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AFAF36" w14:textId="77777777" w:rsidR="00BC5284" w:rsidRPr="00BC5284" w:rsidRDefault="00BC5284">
            <w:pPr>
              <w:pStyle w:val="TableTextStocktake"/>
              <w:jc w:val="right"/>
            </w:pPr>
            <w:r w:rsidRPr="00BC5284">
              <w:t>27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E1521C" w14:textId="77777777" w:rsidR="00BC5284" w:rsidRPr="00BC5284" w:rsidRDefault="00BC5284">
            <w:pPr>
              <w:pStyle w:val="TableTextStocktake"/>
              <w:jc w:val="right"/>
            </w:pPr>
            <w:r w:rsidRPr="00BC5284">
              <w:t>69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17A516" w14:textId="77777777" w:rsidR="00BC5284" w:rsidRPr="00BC5284" w:rsidRDefault="00BC5284">
            <w:pPr>
              <w:pStyle w:val="TableTextStocktake"/>
              <w:jc w:val="right"/>
            </w:pPr>
            <w:r w:rsidRPr="00BC5284">
              <w:t>19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24F737" w14:textId="77777777" w:rsidR="00BC5284" w:rsidRPr="00BC5284" w:rsidRDefault="00BC5284">
            <w:pPr>
              <w:pStyle w:val="TableTextStocktake"/>
              <w:jc w:val="right"/>
            </w:pPr>
            <w:r w:rsidRPr="00BC5284">
              <w:t>88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2CB1A1" w14:textId="77777777" w:rsidR="00BC5284" w:rsidRPr="00BC5284" w:rsidRDefault="00BC5284">
            <w:pPr>
              <w:pStyle w:val="TableTextStocktake"/>
              <w:jc w:val="right"/>
            </w:pPr>
            <w:r w:rsidRPr="00BC5284">
              <w:t>1,135</w:t>
            </w:r>
          </w:p>
        </w:tc>
      </w:tr>
      <w:tr w:rsidR="00BC5284" w:rsidRPr="00BC5284" w14:paraId="62FAFDF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7FE032" w14:textId="77777777" w:rsidR="00BC5284" w:rsidRPr="00BC5284" w:rsidRDefault="00BC5284">
            <w:pPr>
              <w:pStyle w:val="TableTextStocktake"/>
            </w:pPr>
            <w:r w:rsidRPr="00BC5284">
              <w:t>South Gippsland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C89FE0"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AA39AD" w14:textId="77777777" w:rsidR="00BC5284" w:rsidRPr="00BC5284" w:rsidRDefault="00BC5284">
            <w:pPr>
              <w:pStyle w:val="TableTextStocktake"/>
              <w:jc w:val="right"/>
            </w:pPr>
            <w:r w:rsidRPr="00BC5284">
              <w:t>3,296</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C7391DE" w14:textId="77777777" w:rsidR="00BC5284" w:rsidRPr="00BC5284" w:rsidRDefault="00BC5284">
            <w:pPr>
              <w:pStyle w:val="TableTextStocktake"/>
              <w:jc w:val="right"/>
            </w:pPr>
            <w:r w:rsidRPr="00BC5284">
              <w:t>29,576</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AFBA54" w14:textId="77777777" w:rsidR="00BC5284" w:rsidRPr="00BC5284" w:rsidRDefault="00BC5284">
            <w:pPr>
              <w:pStyle w:val="TableTextStocktake"/>
              <w:jc w:val="right"/>
            </w:pPr>
            <w:r w:rsidRPr="00BC5284">
              <w:t>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8C09B3" w14:textId="77777777" w:rsidR="00BC5284" w:rsidRPr="00BC5284" w:rsidRDefault="00BC5284">
            <w:pPr>
              <w:pStyle w:val="TableTextStocktake"/>
              <w:jc w:val="right"/>
            </w:pPr>
            <w:r w:rsidRPr="00BC5284">
              <w:t>97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5CE20E" w14:textId="77777777" w:rsidR="00BC5284" w:rsidRPr="00BC5284" w:rsidRDefault="00BC5284">
            <w:pPr>
              <w:pStyle w:val="TableTextStocktake"/>
              <w:jc w:val="right"/>
            </w:pPr>
            <w:r w:rsidRPr="00BC5284">
              <w:t>106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591E9B"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F81353" w14:textId="77777777" w:rsidR="00BC5284" w:rsidRPr="00BC5284" w:rsidRDefault="00BC5284">
            <w:pPr>
              <w:pStyle w:val="TableTextStocktake"/>
              <w:jc w:val="right"/>
            </w:pPr>
            <w:r w:rsidRPr="00BC5284">
              <w:t>106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0A2A06" w14:textId="77777777" w:rsidR="00BC5284" w:rsidRPr="00BC5284" w:rsidRDefault="00BC5284">
            <w:pPr>
              <w:pStyle w:val="TableTextStocktake"/>
              <w:jc w:val="right"/>
            </w:pPr>
            <w:r w:rsidRPr="00BC5284">
              <w:t>137</w:t>
            </w:r>
          </w:p>
        </w:tc>
      </w:tr>
      <w:tr w:rsidR="00BC5284" w:rsidRPr="00BC5284" w14:paraId="0D8585F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EE1279" w14:textId="77777777" w:rsidR="00BC5284" w:rsidRPr="00BC5284" w:rsidRDefault="00BC5284">
            <w:pPr>
              <w:pStyle w:val="TableTextStocktake"/>
            </w:pPr>
            <w:r w:rsidRPr="00BC5284">
              <w:lastRenderedPageBreak/>
              <w:t>Southern Grampians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477DB4"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AE42C0" w14:textId="77777777" w:rsidR="00BC5284" w:rsidRPr="00BC5284" w:rsidRDefault="00BC5284">
            <w:pPr>
              <w:pStyle w:val="TableTextStocktake"/>
              <w:jc w:val="right"/>
            </w:pPr>
            <w:r w:rsidRPr="00BC5284">
              <w:t>6,654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4389DB" w14:textId="77777777" w:rsidR="00BC5284" w:rsidRPr="00BC5284" w:rsidRDefault="00BC5284">
            <w:pPr>
              <w:pStyle w:val="TableTextStocktake"/>
              <w:jc w:val="right"/>
            </w:pPr>
            <w:r w:rsidRPr="00BC5284">
              <w:t>16,135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0C62B0" w14:textId="77777777" w:rsidR="00BC5284" w:rsidRPr="00BC5284" w:rsidRDefault="00BC5284">
            <w:pPr>
              <w:pStyle w:val="TableTextStocktake"/>
              <w:jc w:val="right"/>
            </w:pPr>
            <w:r w:rsidRPr="00BC5284">
              <w:t>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32C264" w14:textId="77777777" w:rsidR="00BC5284" w:rsidRPr="00BC5284" w:rsidRDefault="00BC5284">
            <w:pPr>
              <w:pStyle w:val="TableTextStocktake"/>
              <w:jc w:val="right"/>
            </w:pPr>
            <w:r w:rsidRPr="00BC5284">
              <w:t>501</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5868F7" w14:textId="77777777" w:rsidR="00BC5284" w:rsidRPr="00BC5284" w:rsidRDefault="00BC5284">
            <w:pPr>
              <w:pStyle w:val="TableTextStocktake"/>
              <w:jc w:val="right"/>
            </w:pPr>
            <w:r w:rsidRPr="00BC5284">
              <w:t>522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BFC87D"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7B2772" w14:textId="77777777" w:rsidR="00BC5284" w:rsidRPr="00BC5284" w:rsidRDefault="00BC5284">
            <w:pPr>
              <w:pStyle w:val="TableTextStocktake"/>
              <w:jc w:val="right"/>
            </w:pPr>
            <w:r w:rsidRPr="00BC5284">
              <w:t>525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A5178E" w14:textId="77777777" w:rsidR="00BC5284" w:rsidRPr="00BC5284" w:rsidRDefault="00BC5284">
            <w:pPr>
              <w:pStyle w:val="TableTextStocktake"/>
              <w:jc w:val="right"/>
            </w:pPr>
            <w:r w:rsidRPr="00BC5284">
              <w:t>989</w:t>
            </w:r>
          </w:p>
        </w:tc>
      </w:tr>
      <w:tr w:rsidR="00BC5284" w:rsidRPr="00BC5284" w14:paraId="466129D5"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7042D8" w14:textId="77777777" w:rsidR="00BC5284" w:rsidRPr="00BC5284" w:rsidRDefault="00BC5284">
            <w:pPr>
              <w:pStyle w:val="TableTextStocktake"/>
            </w:pPr>
            <w:r w:rsidRPr="00BC5284">
              <w:t>Surf Coast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C13F92"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B09B7B" w14:textId="77777777" w:rsidR="00BC5284" w:rsidRPr="00BC5284" w:rsidRDefault="00BC5284">
            <w:pPr>
              <w:pStyle w:val="TableTextStocktake"/>
              <w:jc w:val="right"/>
            </w:pPr>
            <w:r w:rsidRPr="00BC5284">
              <w:t>1,553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49968D" w14:textId="77777777" w:rsidR="00BC5284" w:rsidRPr="00BC5284" w:rsidRDefault="00BC5284">
            <w:pPr>
              <w:pStyle w:val="TableTextStocktake"/>
              <w:jc w:val="right"/>
            </w:pPr>
            <w:r w:rsidRPr="00BC5284">
              <w:t>32,251</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216309" w14:textId="77777777" w:rsidR="00BC5284" w:rsidRPr="00BC5284" w:rsidRDefault="00BC5284">
            <w:pPr>
              <w:pStyle w:val="TableTextStocktake"/>
              <w:jc w:val="right"/>
            </w:pPr>
            <w:r w:rsidRPr="00BC5284">
              <w:t>18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E11283" w14:textId="77777777" w:rsidR="00BC5284" w:rsidRPr="00BC5284" w:rsidRDefault="00BC5284">
            <w:pPr>
              <w:pStyle w:val="TableTextStocktake"/>
              <w:jc w:val="right"/>
            </w:pPr>
            <w:r w:rsidRPr="00BC5284">
              <w:t>127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8FCE96" w14:textId="77777777" w:rsidR="00BC5284" w:rsidRPr="00BC5284" w:rsidRDefault="00BC5284">
            <w:pPr>
              <w:pStyle w:val="TableTextStocktake"/>
              <w:jc w:val="right"/>
            </w:pPr>
            <w:r w:rsidRPr="00BC5284">
              <w:t>145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F4FD4E"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A65547" w14:textId="77777777" w:rsidR="00BC5284" w:rsidRPr="00BC5284" w:rsidRDefault="00BC5284">
            <w:pPr>
              <w:pStyle w:val="TableTextStocktake"/>
              <w:jc w:val="right"/>
            </w:pPr>
            <w:r w:rsidRPr="00BC5284">
              <w:t>146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226A9E" w14:textId="77777777" w:rsidR="00BC5284" w:rsidRPr="00BC5284" w:rsidRDefault="00BC5284">
            <w:pPr>
              <w:pStyle w:val="TableTextStocktake"/>
              <w:jc w:val="right"/>
            </w:pPr>
            <w:r w:rsidRPr="00BC5284">
              <w:t>294</w:t>
            </w:r>
          </w:p>
        </w:tc>
      </w:tr>
      <w:tr w:rsidR="00BC5284" w:rsidRPr="00BC5284" w14:paraId="5A8A59A4"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88EA294" w14:textId="77777777" w:rsidR="00BC5284" w:rsidRPr="00BC5284" w:rsidRDefault="00BC5284">
            <w:pPr>
              <w:pStyle w:val="TableTextStocktake"/>
            </w:pPr>
            <w:r w:rsidRPr="00BC5284">
              <w:t>Wellington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2FFC535" w14:textId="77777777" w:rsidR="00BC5284" w:rsidRPr="00BC5284" w:rsidRDefault="00BC5284">
            <w:pPr>
              <w:pStyle w:val="TableTextStocktake"/>
            </w:pPr>
            <w:r w:rsidRPr="00BC5284">
              <w:t>Rural Large</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93D59FF" w14:textId="77777777" w:rsidR="00BC5284" w:rsidRPr="00BC5284" w:rsidRDefault="00BC5284">
            <w:pPr>
              <w:pStyle w:val="TableTextStocktake"/>
              <w:jc w:val="right"/>
            </w:pPr>
            <w:r w:rsidRPr="00BC5284">
              <w:t>10,817</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1B25A03" w14:textId="77777777" w:rsidR="00BC5284" w:rsidRPr="00BC5284" w:rsidRDefault="00BC5284">
            <w:pPr>
              <w:pStyle w:val="TableTextStocktake"/>
              <w:jc w:val="right"/>
            </w:pPr>
            <w:r w:rsidRPr="00BC5284">
              <w:t>44,019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233FEC8" w14:textId="77777777" w:rsidR="00BC5284" w:rsidRPr="00BC5284" w:rsidRDefault="00BC5284">
            <w:pPr>
              <w:pStyle w:val="TableTextStocktake"/>
              <w:jc w:val="right"/>
            </w:pPr>
            <w:r w:rsidRPr="00BC5284">
              <w:t>27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FC20264" w14:textId="77777777" w:rsidR="00BC5284" w:rsidRPr="00BC5284" w:rsidRDefault="00BC5284">
            <w:pPr>
              <w:pStyle w:val="TableTextStocktake"/>
              <w:jc w:val="right"/>
            </w:pPr>
            <w:r w:rsidRPr="00BC5284">
              <w:t>294</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0E297F7" w14:textId="77777777" w:rsidR="00BC5284" w:rsidRPr="00BC5284" w:rsidRDefault="00BC5284">
            <w:pPr>
              <w:pStyle w:val="TableTextStocktake"/>
              <w:jc w:val="right"/>
            </w:pPr>
            <w:r w:rsidRPr="00BC5284">
              <w:t>321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FEC85EC"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FDA6222" w14:textId="77777777" w:rsidR="00BC5284" w:rsidRPr="00BC5284" w:rsidRDefault="00BC5284">
            <w:pPr>
              <w:pStyle w:val="TableTextStocktake"/>
              <w:jc w:val="right"/>
            </w:pPr>
            <w:r w:rsidRPr="00BC5284">
              <w:t>333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7F3AEEB" w14:textId="77777777" w:rsidR="00BC5284" w:rsidRPr="00BC5284" w:rsidRDefault="00BC5284">
            <w:pPr>
              <w:pStyle w:val="TableTextStocktake"/>
              <w:jc w:val="right"/>
            </w:pPr>
            <w:r w:rsidRPr="00BC5284">
              <w:t>1,418</w:t>
            </w:r>
          </w:p>
        </w:tc>
      </w:tr>
      <w:tr w:rsidR="00BC5284" w:rsidRPr="00BC5284" w14:paraId="26AD3C8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89DD48E"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9EFF53F"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5A04B6C" w14:textId="77777777" w:rsidR="00BC5284" w:rsidRPr="00BC5284" w:rsidRDefault="00BC5284">
            <w:pPr>
              <w:pStyle w:val="TableTextStocktake"/>
              <w:jc w:val="right"/>
            </w:pPr>
            <w:r w:rsidRPr="00BC5284">
              <w:rPr>
                <w:rFonts w:ascii="FreightSans Pro Bold" w:hAnsi="FreightSans Pro Bold" w:cs="FreightSans Pro Bold"/>
                <w:b/>
                <w:bCs/>
              </w:rPr>
              <w:t>90,732</w:t>
            </w:r>
          </w:p>
        </w:tc>
        <w:tc>
          <w:tcPr>
            <w:tcW w:w="9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17A70C3" w14:textId="77777777" w:rsidR="00BC5284" w:rsidRPr="00BC5284" w:rsidRDefault="00BC5284">
            <w:pPr>
              <w:pStyle w:val="TableTextStocktake"/>
              <w:jc w:val="right"/>
            </w:pPr>
            <w:r w:rsidRPr="00BC5284">
              <w:rPr>
                <w:rFonts w:ascii="FreightSans Pro Bold" w:hAnsi="FreightSans Pro Bold" w:cs="FreightSans Pro Bold"/>
                <w:b/>
                <w:bCs/>
              </w:rPr>
              <w:t>600,508</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144AC7F" w14:textId="77777777" w:rsidR="00BC5284" w:rsidRPr="00BC5284" w:rsidRDefault="00BC5284">
            <w:pPr>
              <w:pStyle w:val="TableTextStocktake"/>
              <w:jc w:val="right"/>
            </w:pPr>
            <w:r w:rsidRPr="00BC5284">
              <w:rPr>
                <w:rFonts w:ascii="FreightSans Pro Bold" w:hAnsi="FreightSans Pro Bold" w:cs="FreightSans Pro Bold"/>
                <w:b/>
                <w:bCs/>
              </w:rPr>
              <w:t>599</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29A8529" w14:textId="77777777" w:rsidR="00BC5284" w:rsidRPr="00BC5284" w:rsidRDefault="00BC5284">
            <w:pPr>
              <w:pStyle w:val="TableTextStocktake"/>
              <w:jc w:val="right"/>
            </w:pPr>
            <w:r w:rsidRPr="00BC5284">
              <w:rPr>
                <w:rFonts w:ascii="FreightSans Pro Bold" w:hAnsi="FreightSans Pro Bold" w:cs="FreightSans Pro Bold"/>
                <w:b/>
                <w:bCs/>
              </w:rPr>
              <w:t>6,019</w:t>
            </w:r>
          </w:p>
        </w:tc>
        <w:tc>
          <w:tcPr>
            <w:tcW w:w="70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CF36E02" w14:textId="77777777" w:rsidR="00BC5284" w:rsidRPr="00BC5284" w:rsidRDefault="00BC5284">
            <w:pPr>
              <w:pStyle w:val="TableTextStocktake"/>
              <w:jc w:val="right"/>
            </w:pPr>
            <w:r w:rsidRPr="00BC5284">
              <w:rPr>
                <w:rFonts w:ascii="FreightSans Pro Bold" w:hAnsi="FreightSans Pro Bold" w:cs="FreightSans Pro Bold"/>
                <w:b/>
                <w:bCs/>
              </w:rPr>
              <w:t>6,618</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1CFFCCD" w14:textId="77777777" w:rsidR="00BC5284" w:rsidRPr="00BC5284" w:rsidRDefault="00BC5284">
            <w:pPr>
              <w:pStyle w:val="TableTextStocktake"/>
              <w:jc w:val="right"/>
            </w:pPr>
            <w:r w:rsidRPr="00BC5284">
              <w:rPr>
                <w:rFonts w:ascii="FreightSans Pro Bold" w:hAnsi="FreightSans Pro Bold" w:cs="FreightSans Pro Bold"/>
                <w:b/>
                <w:bCs/>
              </w:rPr>
              <w:t>181</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321EF2E" w14:textId="77777777" w:rsidR="00BC5284" w:rsidRPr="00BC5284" w:rsidRDefault="00BC5284">
            <w:pPr>
              <w:pStyle w:val="TableTextStocktake"/>
              <w:jc w:val="right"/>
            </w:pPr>
            <w:r w:rsidRPr="00BC5284">
              <w:rPr>
                <w:rFonts w:ascii="FreightSans Pro Bold" w:hAnsi="FreightSans Pro Bold" w:cs="FreightSans Pro Bold"/>
                <w:b/>
                <w:bCs/>
              </w:rPr>
              <w:t>6,799</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7E1A614" w14:textId="77777777" w:rsidR="00BC5284" w:rsidRPr="00BC5284" w:rsidRDefault="00BC5284">
            <w:pPr>
              <w:pStyle w:val="TableTextStocktake"/>
              <w:jc w:val="right"/>
            </w:pPr>
            <w:r w:rsidRPr="00BC5284">
              <w:rPr>
                <w:rFonts w:ascii="FreightSans Pro Bold" w:hAnsi="FreightSans Pro Bold" w:cs="FreightSans Pro Bold"/>
                <w:b/>
                <w:bCs/>
              </w:rPr>
              <w:t>20,888</w:t>
            </w:r>
          </w:p>
        </w:tc>
      </w:tr>
      <w:tr w:rsidR="00BC5284" w:rsidRPr="00BC5284" w14:paraId="3D9CEA13"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EF82391" w14:textId="77777777" w:rsidR="00BC5284" w:rsidRPr="00BC5284" w:rsidRDefault="00BC5284">
            <w:pPr>
              <w:pStyle w:val="TableTextStocktake"/>
            </w:pPr>
            <w:r w:rsidRPr="00BC5284">
              <w:t>Alpine (S)</w:t>
            </w:r>
          </w:p>
        </w:tc>
        <w:tc>
          <w:tcPr>
            <w:tcW w:w="211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0795CAC" w14:textId="77777777" w:rsidR="00BC5284" w:rsidRPr="00BC5284" w:rsidRDefault="00BC5284">
            <w:pPr>
              <w:pStyle w:val="TableTextStocktake"/>
            </w:pPr>
            <w:r w:rsidRPr="00BC5284">
              <w:t>Rural Small</w:t>
            </w:r>
          </w:p>
        </w:tc>
        <w:tc>
          <w:tcPr>
            <w:tcW w:w="65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AE51B02" w14:textId="77777777" w:rsidR="00BC5284" w:rsidRPr="00BC5284" w:rsidRDefault="00BC5284">
            <w:pPr>
              <w:pStyle w:val="TableTextStocktake"/>
              <w:jc w:val="right"/>
            </w:pPr>
            <w:r w:rsidRPr="00BC5284">
              <w:t>4,788</w:t>
            </w:r>
          </w:p>
        </w:tc>
        <w:tc>
          <w:tcPr>
            <w:tcW w:w="9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24A048D" w14:textId="77777777" w:rsidR="00BC5284" w:rsidRPr="00BC5284" w:rsidRDefault="00BC5284">
            <w:pPr>
              <w:pStyle w:val="TableTextStocktake"/>
              <w:jc w:val="right"/>
            </w:pPr>
            <w:r w:rsidRPr="00BC5284">
              <w:t>12,730</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C9D738F" w14:textId="77777777" w:rsidR="00BC5284" w:rsidRPr="00BC5284" w:rsidRDefault="00BC5284">
            <w:pPr>
              <w:pStyle w:val="TableTextStocktake"/>
              <w:jc w:val="right"/>
            </w:pPr>
            <w:r w:rsidRPr="00BC5284">
              <w:t>15</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F6702BA" w14:textId="77777777" w:rsidR="00BC5284" w:rsidRPr="00BC5284" w:rsidRDefault="00BC5284">
            <w:pPr>
              <w:pStyle w:val="TableTextStocktake"/>
              <w:jc w:val="right"/>
            </w:pPr>
            <w:r w:rsidRPr="00BC5284">
              <w:t>150</w:t>
            </w:r>
          </w:p>
        </w:tc>
        <w:tc>
          <w:tcPr>
            <w:tcW w:w="70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DE061E1" w14:textId="77777777" w:rsidR="00BC5284" w:rsidRPr="00BC5284" w:rsidRDefault="00BC5284">
            <w:pPr>
              <w:pStyle w:val="TableTextStocktake"/>
              <w:jc w:val="right"/>
            </w:pPr>
            <w:r w:rsidRPr="00BC5284">
              <w:t>165</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417B314" w14:textId="77777777" w:rsidR="00BC5284" w:rsidRPr="00BC5284" w:rsidRDefault="00BC5284">
            <w:pPr>
              <w:pStyle w:val="TableTextStocktake"/>
              <w:jc w:val="right"/>
            </w:pPr>
            <w:r w:rsidRPr="00BC5284">
              <w:t>1</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C3DE4E6" w14:textId="77777777" w:rsidR="00BC5284" w:rsidRPr="00BC5284" w:rsidRDefault="00BC5284">
            <w:pPr>
              <w:pStyle w:val="TableTextStocktake"/>
              <w:jc w:val="right"/>
            </w:pPr>
            <w:r w:rsidRPr="00BC5284">
              <w:t>166</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D833534" w14:textId="77777777" w:rsidR="00BC5284" w:rsidRPr="00BC5284" w:rsidRDefault="00BC5284">
            <w:pPr>
              <w:pStyle w:val="TableTextStocktake"/>
              <w:jc w:val="right"/>
            </w:pPr>
            <w:r w:rsidRPr="00BC5284">
              <w:t>464</w:t>
            </w:r>
          </w:p>
        </w:tc>
      </w:tr>
      <w:tr w:rsidR="00BC5284" w:rsidRPr="00BC5284" w14:paraId="04733524"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CCC11B" w14:textId="77777777" w:rsidR="00BC5284" w:rsidRPr="00BC5284" w:rsidRDefault="00BC5284">
            <w:pPr>
              <w:pStyle w:val="TableTextStocktake"/>
            </w:pPr>
            <w:r w:rsidRPr="00BC5284">
              <w:t>Buloke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18F95C"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22FC02" w14:textId="77777777" w:rsidR="00BC5284" w:rsidRPr="00BC5284" w:rsidRDefault="00BC5284">
            <w:pPr>
              <w:pStyle w:val="TableTextStocktake"/>
              <w:jc w:val="right"/>
            </w:pPr>
            <w:r w:rsidRPr="00BC5284">
              <w:t>8,000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2AE4C5" w14:textId="77777777" w:rsidR="00BC5284" w:rsidRPr="00BC5284" w:rsidRDefault="00BC5284">
            <w:pPr>
              <w:pStyle w:val="TableTextStocktake"/>
              <w:jc w:val="right"/>
            </w:pPr>
            <w:r w:rsidRPr="00BC5284">
              <w:t>6,184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971FC7" w14:textId="77777777" w:rsidR="00BC5284" w:rsidRPr="00BC5284" w:rsidRDefault="00BC5284">
            <w:pPr>
              <w:pStyle w:val="TableTextStocktake"/>
              <w:jc w:val="right"/>
            </w:pPr>
            <w:r w:rsidRPr="00BC5284">
              <w:t>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AAD056" w14:textId="77777777" w:rsidR="00BC5284" w:rsidRPr="00BC5284" w:rsidRDefault="00BC5284">
            <w:pPr>
              <w:pStyle w:val="TableTextStocktake"/>
              <w:jc w:val="right"/>
            </w:pPr>
            <w:r w:rsidRPr="00BC5284">
              <w:t>217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07522E" w14:textId="77777777" w:rsidR="00BC5284" w:rsidRPr="00BC5284" w:rsidRDefault="00BC5284">
            <w:pPr>
              <w:pStyle w:val="TableTextStocktake"/>
              <w:jc w:val="right"/>
            </w:pPr>
            <w:r w:rsidRPr="00BC5284">
              <w:t>220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E86796"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DA93CC" w14:textId="77777777" w:rsidR="00BC5284" w:rsidRPr="00BC5284" w:rsidRDefault="00BC5284">
            <w:pPr>
              <w:pStyle w:val="TableTextStocktake"/>
              <w:jc w:val="right"/>
            </w:pPr>
            <w:r w:rsidRPr="00BC5284">
              <w:t>230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64DCB1" w14:textId="77777777" w:rsidR="00BC5284" w:rsidRPr="00BC5284" w:rsidRDefault="00BC5284">
            <w:pPr>
              <w:pStyle w:val="TableTextStocktake"/>
              <w:jc w:val="right"/>
            </w:pPr>
            <w:r w:rsidRPr="00BC5284">
              <w:t>774</w:t>
            </w:r>
          </w:p>
        </w:tc>
      </w:tr>
      <w:tr w:rsidR="00BC5284" w:rsidRPr="00BC5284" w14:paraId="6CA84C5A"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CA5A74" w14:textId="77777777" w:rsidR="00BC5284" w:rsidRPr="00BC5284" w:rsidRDefault="00BC5284">
            <w:pPr>
              <w:pStyle w:val="TableTextStocktake"/>
            </w:pPr>
            <w:r w:rsidRPr="00BC5284">
              <w:t>Central Goldfields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FCECB5"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11AA0D" w14:textId="77777777" w:rsidR="00BC5284" w:rsidRPr="00BC5284" w:rsidRDefault="00BC5284">
            <w:pPr>
              <w:pStyle w:val="TableTextStocktake"/>
              <w:jc w:val="right"/>
            </w:pPr>
            <w:r w:rsidRPr="00BC5284">
              <w:t>1,533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B5ADCF" w14:textId="77777777" w:rsidR="00BC5284" w:rsidRPr="00BC5284" w:rsidRDefault="00BC5284">
            <w:pPr>
              <w:pStyle w:val="TableTextStocktake"/>
              <w:jc w:val="right"/>
            </w:pPr>
            <w:r w:rsidRPr="00BC5284">
              <w:t>13,209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D9A60E" w14:textId="77777777" w:rsidR="00BC5284" w:rsidRPr="00BC5284" w:rsidRDefault="00BC5284">
            <w:pPr>
              <w:pStyle w:val="TableTextStocktake"/>
              <w:jc w:val="right"/>
            </w:pPr>
            <w:r w:rsidRPr="00BC5284">
              <w:t>24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C44857" w14:textId="77777777" w:rsidR="00BC5284" w:rsidRPr="00BC5284" w:rsidRDefault="00BC5284">
            <w:pPr>
              <w:pStyle w:val="TableTextStocktake"/>
              <w:jc w:val="right"/>
            </w:pPr>
            <w:r w:rsidRPr="00BC5284">
              <w:t>83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1828F8" w14:textId="77777777" w:rsidR="00BC5284" w:rsidRPr="00BC5284" w:rsidRDefault="00BC5284">
            <w:pPr>
              <w:pStyle w:val="TableTextStocktake"/>
              <w:jc w:val="right"/>
            </w:pPr>
            <w:r w:rsidRPr="00BC5284">
              <w:t>107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E87335" w14:textId="77777777" w:rsidR="00BC5284" w:rsidRPr="00BC5284" w:rsidRDefault="00BC5284">
            <w:pPr>
              <w:pStyle w:val="TableTextStocktake"/>
              <w:jc w:val="right"/>
            </w:pPr>
            <w:r w:rsidRPr="00BC5284">
              <w:t>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988C2D" w14:textId="77777777" w:rsidR="00BC5284" w:rsidRPr="00BC5284" w:rsidRDefault="00BC5284">
            <w:pPr>
              <w:pStyle w:val="TableTextStocktake"/>
              <w:jc w:val="right"/>
            </w:pPr>
            <w:r w:rsidRPr="00BC5284">
              <w:t>108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465E9B" w14:textId="77777777" w:rsidR="00BC5284" w:rsidRPr="00BC5284" w:rsidRDefault="00BC5284">
            <w:pPr>
              <w:pStyle w:val="TableTextStocktake"/>
              <w:jc w:val="right"/>
            </w:pPr>
            <w:r w:rsidRPr="00BC5284">
              <w:t>2,655</w:t>
            </w:r>
          </w:p>
        </w:tc>
      </w:tr>
      <w:tr w:rsidR="00BC5284" w:rsidRPr="00BC5284" w14:paraId="5E19F2C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861634" w14:textId="77777777" w:rsidR="00BC5284" w:rsidRPr="00BC5284" w:rsidRDefault="00BC5284">
            <w:pPr>
              <w:pStyle w:val="TableTextStocktake"/>
            </w:pPr>
            <w:r w:rsidRPr="00BC5284">
              <w:t>Gannawarra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0E85F6"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35E345" w14:textId="77777777" w:rsidR="00BC5284" w:rsidRPr="00BC5284" w:rsidRDefault="00BC5284">
            <w:pPr>
              <w:pStyle w:val="TableTextStocktake"/>
              <w:jc w:val="right"/>
            </w:pPr>
            <w:r w:rsidRPr="00BC5284">
              <w:t>3,735</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C5C8AAF" w14:textId="77777777" w:rsidR="00BC5284" w:rsidRPr="00BC5284" w:rsidRDefault="00BC5284">
            <w:pPr>
              <w:pStyle w:val="TableTextStocktake"/>
              <w:jc w:val="right"/>
            </w:pPr>
            <w:r w:rsidRPr="00BC5284">
              <w:t>10,547</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413363" w14:textId="77777777" w:rsidR="00BC5284" w:rsidRPr="00BC5284" w:rsidRDefault="00BC5284">
            <w:pPr>
              <w:pStyle w:val="TableTextStocktake"/>
              <w:jc w:val="right"/>
            </w:pPr>
            <w:r w:rsidRPr="00BC5284">
              <w:t>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5D58AB" w14:textId="77777777" w:rsidR="00BC5284" w:rsidRPr="00BC5284" w:rsidRDefault="00BC5284">
            <w:pPr>
              <w:pStyle w:val="TableTextStocktake"/>
              <w:jc w:val="right"/>
            </w:pPr>
            <w:r w:rsidRPr="00BC5284">
              <w:t>21</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1F9420" w14:textId="77777777" w:rsidR="00BC5284" w:rsidRPr="00BC5284" w:rsidRDefault="00BC5284">
            <w:pPr>
              <w:pStyle w:val="TableTextStocktake"/>
              <w:jc w:val="right"/>
            </w:pPr>
            <w:r w:rsidRPr="00BC5284">
              <w:t>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828111"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9E432B" w14:textId="77777777" w:rsidR="00BC5284" w:rsidRPr="00BC5284" w:rsidRDefault="00BC5284">
            <w:pPr>
              <w:pStyle w:val="TableTextStocktake"/>
              <w:jc w:val="right"/>
            </w:pPr>
            <w:r w:rsidRPr="00BC5284">
              <w:t>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8381DD" w14:textId="77777777" w:rsidR="00BC5284" w:rsidRPr="00BC5284" w:rsidRDefault="00BC5284">
            <w:pPr>
              <w:pStyle w:val="TableTextStocktake"/>
              <w:jc w:val="right"/>
            </w:pPr>
            <w:r w:rsidRPr="00BC5284">
              <w:t>91</w:t>
            </w:r>
          </w:p>
        </w:tc>
      </w:tr>
      <w:tr w:rsidR="00BC5284" w:rsidRPr="00BC5284" w14:paraId="1AE18A3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844B16" w14:textId="77777777" w:rsidR="00BC5284" w:rsidRPr="00BC5284" w:rsidRDefault="00BC5284">
            <w:pPr>
              <w:pStyle w:val="TableTextStocktake"/>
            </w:pPr>
            <w:r w:rsidRPr="00BC5284">
              <w:t>Hindmarsh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414FB5"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9B7586" w14:textId="77777777" w:rsidR="00BC5284" w:rsidRPr="00BC5284" w:rsidRDefault="00BC5284">
            <w:pPr>
              <w:pStyle w:val="TableTextStocktake"/>
              <w:jc w:val="right"/>
            </w:pPr>
            <w:r w:rsidRPr="00BC5284">
              <w:t>7,524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F853F2" w14:textId="77777777" w:rsidR="00BC5284" w:rsidRPr="00BC5284" w:rsidRDefault="00BC5284">
            <w:pPr>
              <w:pStyle w:val="TableTextStocktake"/>
              <w:jc w:val="right"/>
            </w:pPr>
            <w:r w:rsidRPr="00BC5284">
              <w:t>5,645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B95995" w14:textId="77777777" w:rsidR="00BC5284" w:rsidRPr="00BC5284" w:rsidRDefault="00BC5284">
            <w:pPr>
              <w:pStyle w:val="TableTextStocktake"/>
              <w:jc w:val="right"/>
            </w:pPr>
            <w:r w:rsidRPr="00BC5284">
              <w:t>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AE8DD4" w14:textId="77777777" w:rsidR="00BC5284" w:rsidRPr="00BC5284" w:rsidRDefault="00BC5284">
            <w:pPr>
              <w:pStyle w:val="TableTextStocktake"/>
              <w:jc w:val="right"/>
            </w:pPr>
            <w:r w:rsidRPr="00BC5284">
              <w:t>35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840304" w14:textId="77777777" w:rsidR="00BC5284" w:rsidRPr="00BC5284" w:rsidRDefault="00BC5284">
            <w:pPr>
              <w:pStyle w:val="TableTextStocktake"/>
              <w:jc w:val="right"/>
            </w:pPr>
            <w:r w:rsidRPr="00BC5284">
              <w:t>39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7473D1" w14:textId="77777777" w:rsidR="00BC5284" w:rsidRPr="00BC5284" w:rsidRDefault="00BC5284">
            <w:pPr>
              <w:pStyle w:val="TableTextStocktake"/>
              <w:jc w:val="right"/>
            </w:pPr>
            <w:r w:rsidRPr="00BC5284">
              <w:t>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8BD7B8" w14:textId="77777777" w:rsidR="00BC5284" w:rsidRPr="00BC5284" w:rsidRDefault="00BC5284">
            <w:pPr>
              <w:pStyle w:val="TableTextStocktake"/>
              <w:jc w:val="right"/>
            </w:pPr>
            <w:r w:rsidRPr="00BC5284">
              <w:t>41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DF6990" w14:textId="77777777" w:rsidR="00BC5284" w:rsidRPr="00BC5284" w:rsidRDefault="00BC5284">
            <w:pPr>
              <w:pStyle w:val="TableTextStocktake"/>
              <w:jc w:val="right"/>
            </w:pPr>
            <w:r w:rsidRPr="00BC5284">
              <w:t>175</w:t>
            </w:r>
          </w:p>
        </w:tc>
      </w:tr>
      <w:tr w:rsidR="00BC5284" w:rsidRPr="00BC5284" w14:paraId="3981BD1E"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81173B" w14:textId="77777777" w:rsidR="00BC5284" w:rsidRPr="00BC5284" w:rsidRDefault="00BC5284">
            <w:pPr>
              <w:pStyle w:val="TableTextStocktake"/>
            </w:pPr>
            <w:r w:rsidRPr="00BC5284">
              <w:t>Loddon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6520CE"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A847AA" w14:textId="77777777" w:rsidR="00BC5284" w:rsidRPr="00BC5284" w:rsidRDefault="00BC5284">
            <w:pPr>
              <w:pStyle w:val="TableTextStocktake"/>
              <w:jc w:val="right"/>
            </w:pPr>
            <w:r w:rsidRPr="00BC5284">
              <w:t>6,696</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D233E0" w14:textId="77777777" w:rsidR="00BC5284" w:rsidRPr="00BC5284" w:rsidRDefault="00BC5284">
            <w:pPr>
              <w:pStyle w:val="TableTextStocktake"/>
              <w:jc w:val="right"/>
            </w:pPr>
            <w:r w:rsidRPr="00BC5284">
              <w:t>7,513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1D0087" w14:textId="77777777" w:rsidR="00BC5284" w:rsidRPr="00BC5284" w:rsidRDefault="00BC5284">
            <w:pPr>
              <w:pStyle w:val="TableTextStocktake"/>
              <w:jc w:val="right"/>
            </w:pPr>
            <w:r w:rsidRPr="00BC5284">
              <w:t>13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AA00F4" w14:textId="77777777" w:rsidR="00BC5284" w:rsidRPr="00BC5284" w:rsidRDefault="00BC5284">
            <w:pPr>
              <w:pStyle w:val="TableTextStocktake"/>
              <w:jc w:val="right"/>
            </w:pPr>
            <w:r w:rsidRPr="00BC5284">
              <w:t>270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F3562D" w14:textId="77777777" w:rsidR="00BC5284" w:rsidRPr="00BC5284" w:rsidRDefault="00BC5284">
            <w:pPr>
              <w:pStyle w:val="TableTextStocktake"/>
              <w:jc w:val="right"/>
            </w:pPr>
            <w:r w:rsidRPr="00BC5284">
              <w:t>283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3DC567"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CADE14" w14:textId="77777777" w:rsidR="00BC5284" w:rsidRPr="00BC5284" w:rsidRDefault="00BC5284">
            <w:pPr>
              <w:pStyle w:val="TableTextStocktake"/>
              <w:jc w:val="right"/>
            </w:pPr>
            <w:r w:rsidRPr="00BC5284">
              <w:t>283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B6810E" w14:textId="77777777" w:rsidR="00BC5284" w:rsidRPr="00BC5284" w:rsidRDefault="00BC5284">
            <w:pPr>
              <w:pStyle w:val="TableTextStocktake"/>
              <w:jc w:val="right"/>
            </w:pPr>
            <w:r w:rsidRPr="00BC5284">
              <w:t>666</w:t>
            </w:r>
          </w:p>
        </w:tc>
      </w:tr>
      <w:tr w:rsidR="00BC5284" w:rsidRPr="00BC5284" w14:paraId="7677850A"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41093B" w14:textId="77777777" w:rsidR="00BC5284" w:rsidRPr="00BC5284" w:rsidRDefault="00BC5284">
            <w:pPr>
              <w:pStyle w:val="TableTextStocktake"/>
            </w:pPr>
            <w:r w:rsidRPr="00BC5284">
              <w:t>Mansfield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0BF465"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ABD056" w14:textId="77777777" w:rsidR="00BC5284" w:rsidRPr="00BC5284" w:rsidRDefault="00BC5284">
            <w:pPr>
              <w:pStyle w:val="TableTextStocktake"/>
              <w:jc w:val="right"/>
            </w:pPr>
            <w:r w:rsidRPr="00BC5284">
              <w:t>3,844</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6440A4" w14:textId="77777777" w:rsidR="00BC5284" w:rsidRPr="00BC5284" w:rsidRDefault="00BC5284">
            <w:pPr>
              <w:pStyle w:val="TableTextStocktake"/>
              <w:jc w:val="right"/>
            </w:pPr>
            <w:r w:rsidRPr="00BC5284">
              <w:t>8,979</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10C5C4" w14:textId="77777777" w:rsidR="00BC5284" w:rsidRPr="00BC5284" w:rsidRDefault="00BC5284">
            <w:pPr>
              <w:pStyle w:val="TableTextStocktake"/>
              <w:jc w:val="right"/>
            </w:pPr>
            <w:r w:rsidRPr="00BC5284">
              <w:t>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7FE983" w14:textId="77777777" w:rsidR="00BC5284" w:rsidRPr="00BC5284" w:rsidRDefault="00BC5284">
            <w:pPr>
              <w:pStyle w:val="TableTextStocktake"/>
              <w:jc w:val="right"/>
            </w:pPr>
            <w:r w:rsidRPr="00BC5284">
              <w:t>53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2E236C" w14:textId="77777777" w:rsidR="00BC5284" w:rsidRPr="00BC5284" w:rsidRDefault="00BC5284">
            <w:pPr>
              <w:pStyle w:val="TableTextStocktake"/>
              <w:jc w:val="right"/>
            </w:pPr>
            <w:r w:rsidRPr="00BC5284">
              <w:t>61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11E876"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0FC505" w14:textId="77777777" w:rsidR="00BC5284" w:rsidRPr="00BC5284" w:rsidRDefault="00BC5284">
            <w:pPr>
              <w:pStyle w:val="TableTextStocktake"/>
              <w:jc w:val="right"/>
            </w:pPr>
            <w:r w:rsidRPr="00BC5284">
              <w:t>61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06159A" w14:textId="77777777" w:rsidR="00BC5284" w:rsidRPr="00BC5284" w:rsidRDefault="00BC5284">
            <w:pPr>
              <w:pStyle w:val="TableTextStocktake"/>
              <w:jc w:val="right"/>
            </w:pPr>
            <w:r w:rsidRPr="00BC5284">
              <w:t>394</w:t>
            </w:r>
          </w:p>
        </w:tc>
      </w:tr>
      <w:tr w:rsidR="00BC5284" w:rsidRPr="00BC5284" w14:paraId="35C4A62F"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37D781" w14:textId="77777777" w:rsidR="00BC5284" w:rsidRPr="00BC5284" w:rsidRDefault="00BC5284">
            <w:pPr>
              <w:pStyle w:val="TableTextStocktake"/>
            </w:pPr>
            <w:r w:rsidRPr="00BC5284">
              <w:t>Murrindindi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5347E8"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FA532A" w14:textId="77777777" w:rsidR="00BC5284" w:rsidRPr="00BC5284" w:rsidRDefault="00BC5284">
            <w:pPr>
              <w:pStyle w:val="TableTextStocktake"/>
              <w:jc w:val="right"/>
            </w:pPr>
            <w:r w:rsidRPr="00BC5284">
              <w:t>3,880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5561D4" w14:textId="77777777" w:rsidR="00BC5284" w:rsidRPr="00BC5284" w:rsidRDefault="00BC5284">
            <w:pPr>
              <w:pStyle w:val="TableTextStocktake"/>
              <w:jc w:val="right"/>
            </w:pPr>
            <w:r w:rsidRPr="00BC5284">
              <w:t>14,478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96C753"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6995AB" w14:textId="77777777" w:rsidR="00BC5284" w:rsidRPr="00BC5284" w:rsidRDefault="00BC5284">
            <w:pPr>
              <w:pStyle w:val="TableTextStocktake"/>
              <w:jc w:val="right"/>
            </w:pPr>
            <w:r w:rsidRPr="00BC5284">
              <w:t>93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9F84C8" w14:textId="77777777" w:rsidR="00BC5284" w:rsidRPr="00BC5284" w:rsidRDefault="00BC5284">
            <w:pPr>
              <w:pStyle w:val="TableTextStocktake"/>
              <w:jc w:val="right"/>
            </w:pPr>
            <w:r w:rsidRPr="00BC5284">
              <w:t>100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B5C751" w14:textId="77777777" w:rsidR="00BC5284" w:rsidRPr="00BC5284" w:rsidRDefault="00BC5284">
            <w:pPr>
              <w:pStyle w:val="TableTextStocktake"/>
              <w:jc w:val="right"/>
            </w:pPr>
            <w:r w:rsidRPr="00BC5284">
              <w:t>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AC6663" w14:textId="77777777" w:rsidR="00BC5284" w:rsidRPr="00BC5284" w:rsidRDefault="00BC5284">
            <w:pPr>
              <w:pStyle w:val="TableTextStocktake"/>
              <w:jc w:val="right"/>
            </w:pPr>
            <w:r w:rsidRPr="00BC5284">
              <w:t>104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E0B676" w14:textId="77777777" w:rsidR="00BC5284" w:rsidRPr="00BC5284" w:rsidRDefault="00BC5284">
            <w:pPr>
              <w:pStyle w:val="TableTextStocktake"/>
              <w:jc w:val="right"/>
            </w:pPr>
            <w:r w:rsidRPr="00BC5284">
              <w:t>421</w:t>
            </w:r>
          </w:p>
        </w:tc>
      </w:tr>
      <w:tr w:rsidR="00BC5284" w:rsidRPr="00BC5284" w14:paraId="10A6114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282055" w14:textId="77777777" w:rsidR="00BC5284" w:rsidRPr="00BC5284" w:rsidRDefault="00BC5284">
            <w:pPr>
              <w:pStyle w:val="TableTextStocktake"/>
            </w:pPr>
            <w:r w:rsidRPr="00BC5284">
              <w:t>Northern Grampians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6D2CC1"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5AB3B7" w14:textId="77777777" w:rsidR="00BC5284" w:rsidRPr="00BC5284" w:rsidRDefault="00BC5284">
            <w:pPr>
              <w:pStyle w:val="TableTextStocktake"/>
              <w:jc w:val="right"/>
            </w:pPr>
            <w:r w:rsidRPr="00BC5284">
              <w:t>5,730</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AD57E3" w14:textId="77777777" w:rsidR="00BC5284" w:rsidRPr="00BC5284" w:rsidRDefault="00BC5284">
            <w:pPr>
              <w:pStyle w:val="TableTextStocktake"/>
              <w:jc w:val="right"/>
            </w:pPr>
            <w:r w:rsidRPr="00BC5284">
              <w:t>11,431</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11623A" w14:textId="77777777" w:rsidR="00BC5284" w:rsidRPr="00BC5284" w:rsidRDefault="00BC5284">
            <w:pPr>
              <w:pStyle w:val="TableTextStocktake"/>
              <w:jc w:val="right"/>
            </w:pPr>
            <w:r w:rsidRPr="00BC5284">
              <w:t>18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F21ED7" w14:textId="77777777" w:rsidR="00BC5284" w:rsidRPr="00BC5284" w:rsidRDefault="00BC5284">
            <w:pPr>
              <w:pStyle w:val="TableTextStocktake"/>
              <w:jc w:val="right"/>
            </w:pPr>
            <w:r w:rsidRPr="00BC5284">
              <w:t>15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95FACB" w14:textId="77777777" w:rsidR="00BC5284" w:rsidRPr="00BC5284" w:rsidRDefault="00BC5284">
            <w:pPr>
              <w:pStyle w:val="TableTextStocktake"/>
              <w:jc w:val="right"/>
            </w:pPr>
            <w:r w:rsidRPr="00BC5284">
              <w:t>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C30BAB"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A39BBA" w14:textId="77777777" w:rsidR="00BC5284" w:rsidRPr="00BC5284" w:rsidRDefault="00BC5284">
            <w:pPr>
              <w:pStyle w:val="TableTextStocktake"/>
              <w:jc w:val="right"/>
            </w:pPr>
            <w:r w:rsidRPr="00BC5284">
              <w:t>33</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9A0B08" w14:textId="77777777" w:rsidR="00BC5284" w:rsidRPr="00BC5284" w:rsidRDefault="00BC5284">
            <w:pPr>
              <w:pStyle w:val="TableTextStocktake"/>
              <w:jc w:val="right"/>
            </w:pPr>
            <w:r w:rsidRPr="00BC5284">
              <w:t>43</w:t>
            </w:r>
          </w:p>
        </w:tc>
      </w:tr>
      <w:tr w:rsidR="00BC5284" w:rsidRPr="00BC5284" w14:paraId="718C8496"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F2267D" w14:textId="77777777" w:rsidR="00BC5284" w:rsidRPr="00BC5284" w:rsidRDefault="00BC5284">
            <w:pPr>
              <w:pStyle w:val="TableTextStocktake"/>
            </w:pPr>
            <w:r w:rsidRPr="00BC5284">
              <w:t>Pyrenees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BB64BF"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14DD55" w14:textId="77777777" w:rsidR="00BC5284" w:rsidRPr="00BC5284" w:rsidRDefault="00BC5284">
            <w:pPr>
              <w:pStyle w:val="TableTextStocktake"/>
              <w:jc w:val="right"/>
            </w:pPr>
            <w:r w:rsidRPr="00BC5284">
              <w:t>3,435</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7BFFF0" w14:textId="77777777" w:rsidR="00BC5284" w:rsidRPr="00BC5284" w:rsidRDefault="00BC5284">
            <w:pPr>
              <w:pStyle w:val="TableTextStocktake"/>
              <w:jc w:val="right"/>
            </w:pPr>
            <w:r w:rsidRPr="00BC5284">
              <w:t>7,353</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166FFC" w14:textId="77777777" w:rsidR="00BC5284" w:rsidRPr="00BC5284" w:rsidRDefault="00BC5284">
            <w:pPr>
              <w:pStyle w:val="TableTextStocktake"/>
              <w:jc w:val="right"/>
            </w:pPr>
            <w:r w:rsidRPr="00BC5284">
              <w:t>22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D2C934" w14:textId="77777777" w:rsidR="00BC5284" w:rsidRPr="00BC5284" w:rsidRDefault="00BC5284">
            <w:pPr>
              <w:pStyle w:val="TableTextStocktake"/>
              <w:jc w:val="right"/>
            </w:pPr>
            <w:r w:rsidRPr="00BC5284">
              <w:t>65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7D7B47" w14:textId="77777777" w:rsidR="00BC5284" w:rsidRPr="00BC5284" w:rsidRDefault="00BC5284">
            <w:pPr>
              <w:pStyle w:val="TableTextStocktake"/>
              <w:jc w:val="right"/>
            </w:pPr>
            <w:r w:rsidRPr="00BC5284">
              <w:t>87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EF0CCA"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CA6B7D" w14:textId="77777777" w:rsidR="00BC5284" w:rsidRPr="00BC5284" w:rsidRDefault="00BC5284">
            <w:pPr>
              <w:pStyle w:val="TableTextStocktake"/>
              <w:jc w:val="right"/>
            </w:pPr>
            <w:r w:rsidRPr="00BC5284">
              <w:t>98</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8A6689" w14:textId="77777777" w:rsidR="00BC5284" w:rsidRPr="00BC5284" w:rsidRDefault="00BC5284">
            <w:pPr>
              <w:pStyle w:val="TableTextStocktake"/>
              <w:jc w:val="right"/>
            </w:pPr>
            <w:r w:rsidRPr="00BC5284">
              <w:t>496</w:t>
            </w:r>
          </w:p>
        </w:tc>
      </w:tr>
      <w:tr w:rsidR="00BC5284" w:rsidRPr="00BC5284" w14:paraId="2DF3DF37"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C76135" w14:textId="77777777" w:rsidR="00BC5284" w:rsidRPr="00BC5284" w:rsidRDefault="00BC5284">
            <w:pPr>
              <w:pStyle w:val="TableTextStocktake"/>
            </w:pPr>
            <w:r w:rsidRPr="00BC5284">
              <w:t>Queenscliffe (B)</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E90BB1"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724C2F" w14:textId="77777777" w:rsidR="00BC5284" w:rsidRPr="00BC5284" w:rsidRDefault="00BC5284">
            <w:pPr>
              <w:pStyle w:val="TableTextStocktake"/>
              <w:jc w:val="right"/>
            </w:pPr>
            <w:r w:rsidRPr="00BC5284">
              <w:t>9</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E17A78" w14:textId="77777777" w:rsidR="00BC5284" w:rsidRPr="00BC5284" w:rsidRDefault="00BC5284">
            <w:pPr>
              <w:pStyle w:val="TableTextStocktake"/>
              <w:jc w:val="right"/>
            </w:pPr>
            <w:r w:rsidRPr="00BC5284">
              <w:t>2,982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242DCD" w14:textId="77777777" w:rsidR="00BC5284" w:rsidRPr="00BC5284" w:rsidRDefault="00BC5284">
            <w:pPr>
              <w:pStyle w:val="TableTextStocktake"/>
              <w:jc w:val="right"/>
            </w:pPr>
            <w:r w:rsidRPr="00BC5284">
              <w:t>15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FDF402" w14:textId="77777777" w:rsidR="00BC5284" w:rsidRPr="00BC5284" w:rsidRDefault="00BC5284">
            <w:pPr>
              <w:pStyle w:val="TableTextStocktake"/>
              <w:jc w:val="right"/>
            </w:pPr>
            <w:r w:rsidRPr="00BC5284">
              <w:t>121</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869EBC" w14:textId="77777777" w:rsidR="00BC5284" w:rsidRPr="00BC5284" w:rsidRDefault="00BC5284">
            <w:pPr>
              <w:pStyle w:val="TableTextStocktake"/>
              <w:jc w:val="right"/>
            </w:pPr>
            <w:r w:rsidRPr="00BC5284">
              <w:t>136</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845A00"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7DABAF" w14:textId="77777777" w:rsidR="00BC5284" w:rsidRPr="00BC5284" w:rsidRDefault="00BC5284">
            <w:pPr>
              <w:pStyle w:val="TableTextStocktake"/>
              <w:jc w:val="right"/>
            </w:pPr>
            <w:r w:rsidRPr="00BC5284">
              <w:t>147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3031D1" w14:textId="77777777" w:rsidR="00BC5284" w:rsidRPr="00BC5284" w:rsidRDefault="00BC5284">
            <w:pPr>
              <w:pStyle w:val="TableTextStocktake"/>
              <w:jc w:val="right"/>
            </w:pPr>
            <w:r w:rsidRPr="00BC5284">
              <w:t>717</w:t>
            </w:r>
          </w:p>
        </w:tc>
      </w:tr>
      <w:tr w:rsidR="00BC5284" w:rsidRPr="00BC5284" w14:paraId="5CD0625C"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C714F9" w14:textId="77777777" w:rsidR="00BC5284" w:rsidRPr="00BC5284" w:rsidRDefault="00BC5284">
            <w:pPr>
              <w:pStyle w:val="TableTextStocktake"/>
            </w:pPr>
            <w:r w:rsidRPr="00BC5284">
              <w:t>Strathbogie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7C860D"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2F6249" w14:textId="77777777" w:rsidR="00BC5284" w:rsidRPr="00BC5284" w:rsidRDefault="00BC5284">
            <w:pPr>
              <w:pStyle w:val="TableTextStocktake"/>
              <w:jc w:val="right"/>
            </w:pPr>
            <w:r w:rsidRPr="00BC5284">
              <w:t>3,303</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DA61E3" w14:textId="77777777" w:rsidR="00BC5284" w:rsidRPr="00BC5284" w:rsidRDefault="00BC5284">
            <w:pPr>
              <w:pStyle w:val="TableTextStocktake"/>
              <w:jc w:val="right"/>
            </w:pPr>
            <w:r w:rsidRPr="00BC5284">
              <w:t>10,645</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EA135C" w14:textId="77777777" w:rsidR="00BC5284" w:rsidRPr="00BC5284" w:rsidRDefault="00BC5284">
            <w:pPr>
              <w:pStyle w:val="TableTextStocktake"/>
              <w:jc w:val="right"/>
            </w:pPr>
            <w:r w:rsidRPr="00BC5284">
              <w:t>15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F59EB7" w14:textId="77777777" w:rsidR="00BC5284" w:rsidRPr="00BC5284" w:rsidRDefault="00BC5284">
            <w:pPr>
              <w:pStyle w:val="TableTextStocktake"/>
              <w:jc w:val="right"/>
            </w:pPr>
            <w:r w:rsidRPr="00BC5284">
              <w:t>70</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D6BAB5" w14:textId="77777777" w:rsidR="00BC5284" w:rsidRPr="00BC5284" w:rsidRDefault="00BC5284">
            <w:pPr>
              <w:pStyle w:val="TableTextStocktake"/>
              <w:jc w:val="right"/>
            </w:pPr>
            <w:r w:rsidRPr="00BC5284">
              <w:t>85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C57EA1"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97CE44" w14:textId="77777777" w:rsidR="00BC5284" w:rsidRPr="00BC5284" w:rsidRDefault="00BC5284">
            <w:pPr>
              <w:pStyle w:val="TableTextStocktake"/>
              <w:jc w:val="right"/>
            </w:pPr>
            <w:r w:rsidRPr="00BC5284">
              <w:t>85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D0D035" w14:textId="77777777" w:rsidR="00BC5284" w:rsidRPr="00BC5284" w:rsidRDefault="00BC5284">
            <w:pPr>
              <w:pStyle w:val="TableTextStocktake"/>
              <w:jc w:val="right"/>
            </w:pPr>
            <w:r w:rsidRPr="00BC5284">
              <w:t>117</w:t>
            </w:r>
          </w:p>
        </w:tc>
      </w:tr>
      <w:tr w:rsidR="00BC5284" w:rsidRPr="00BC5284" w14:paraId="39B39880"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5A4CD9" w14:textId="77777777" w:rsidR="00BC5284" w:rsidRPr="00BC5284" w:rsidRDefault="00BC5284">
            <w:pPr>
              <w:pStyle w:val="TableTextStocktake"/>
            </w:pPr>
            <w:r w:rsidRPr="00BC5284">
              <w:t>Towong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42EA1D"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1C26BC" w14:textId="77777777" w:rsidR="00BC5284" w:rsidRPr="00BC5284" w:rsidRDefault="00BC5284">
            <w:pPr>
              <w:pStyle w:val="TableTextStocktake"/>
              <w:jc w:val="right"/>
            </w:pPr>
            <w:r w:rsidRPr="00BC5284">
              <w:t>6,675</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06F015" w14:textId="77777777" w:rsidR="00BC5284" w:rsidRPr="00BC5284" w:rsidRDefault="00BC5284">
            <w:pPr>
              <w:pStyle w:val="TableTextStocktake"/>
              <w:jc w:val="right"/>
            </w:pPr>
            <w:r w:rsidRPr="00BC5284">
              <w:t>6,054</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354426"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843CA6" w14:textId="77777777" w:rsidR="00BC5284" w:rsidRPr="00BC5284" w:rsidRDefault="00BC5284">
            <w:pPr>
              <w:pStyle w:val="TableTextStocktake"/>
              <w:jc w:val="right"/>
            </w:pPr>
            <w:r w:rsidRPr="00BC5284">
              <w:t>87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1773CA" w14:textId="77777777" w:rsidR="00BC5284" w:rsidRPr="00BC5284" w:rsidRDefault="00BC5284">
            <w:pPr>
              <w:pStyle w:val="TableTextStocktake"/>
              <w:jc w:val="right"/>
            </w:pPr>
            <w:r w:rsidRPr="00BC5284">
              <w:t>97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C1CACC" w14:textId="77777777" w:rsidR="00BC5284" w:rsidRPr="00BC5284" w:rsidRDefault="00BC5284">
            <w:pPr>
              <w:pStyle w:val="TableTextStocktake"/>
              <w:jc w:val="right"/>
            </w:pPr>
            <w:r w:rsidRPr="00BC5284">
              <w:t>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8DD9B6" w14:textId="77777777" w:rsidR="00BC5284" w:rsidRPr="00BC5284" w:rsidRDefault="00BC5284">
            <w:pPr>
              <w:pStyle w:val="TableTextStocktake"/>
              <w:jc w:val="right"/>
            </w:pPr>
            <w:r w:rsidRPr="00BC5284">
              <w:t>99</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E600A5" w14:textId="77777777" w:rsidR="00BC5284" w:rsidRPr="00BC5284" w:rsidRDefault="00BC5284">
            <w:pPr>
              <w:pStyle w:val="TableTextStocktake"/>
              <w:jc w:val="right"/>
            </w:pPr>
            <w:r w:rsidRPr="00BC5284">
              <w:t>204</w:t>
            </w:r>
          </w:p>
        </w:tc>
      </w:tr>
      <w:tr w:rsidR="00BC5284" w:rsidRPr="00BC5284" w14:paraId="3CC14A3F"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EE492E" w14:textId="77777777" w:rsidR="00BC5284" w:rsidRPr="00BC5284" w:rsidRDefault="00BC5284">
            <w:pPr>
              <w:pStyle w:val="TableTextStocktake"/>
            </w:pPr>
            <w:r w:rsidRPr="00BC5284">
              <w:t>West Wimmera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7A4C05"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C31B48" w14:textId="77777777" w:rsidR="00BC5284" w:rsidRPr="00BC5284" w:rsidRDefault="00BC5284">
            <w:pPr>
              <w:pStyle w:val="TableTextStocktake"/>
              <w:jc w:val="right"/>
            </w:pPr>
            <w:r w:rsidRPr="00BC5284">
              <w:t>9,108</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FA6D3A" w14:textId="77777777" w:rsidR="00BC5284" w:rsidRPr="00BC5284" w:rsidRDefault="00BC5284">
            <w:pPr>
              <w:pStyle w:val="TableTextStocktake"/>
              <w:jc w:val="right"/>
            </w:pPr>
            <w:r w:rsidRPr="00BC5284">
              <w:t>3,862</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3D1C45" w14:textId="77777777" w:rsidR="00BC5284" w:rsidRPr="00BC5284" w:rsidRDefault="00BC5284">
            <w:pPr>
              <w:pStyle w:val="TableTextStocktake"/>
              <w:jc w:val="right"/>
            </w:pPr>
            <w:r w:rsidRPr="00BC5284">
              <w:t>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724082" w14:textId="77777777" w:rsidR="00BC5284" w:rsidRPr="00BC5284" w:rsidRDefault="00BC5284">
            <w:pPr>
              <w:pStyle w:val="TableTextStocktake"/>
              <w:jc w:val="right"/>
            </w:pPr>
            <w:r w:rsidRPr="00BC5284">
              <w:t>7</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2192F7"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100278"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3B8F49" w14:textId="77777777" w:rsidR="00BC5284" w:rsidRPr="00BC5284" w:rsidRDefault="00BC5284">
            <w:pPr>
              <w:pStyle w:val="TableTextStocktake"/>
              <w:jc w:val="right"/>
            </w:pPr>
            <w:r w:rsidRPr="00BC5284">
              <w:t>11</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F4A741" w14:textId="77777777" w:rsidR="00BC5284" w:rsidRPr="00BC5284" w:rsidRDefault="00BC5284">
            <w:pPr>
              <w:pStyle w:val="TableTextStocktake"/>
              <w:jc w:val="right"/>
            </w:pPr>
            <w:r w:rsidRPr="00BC5284">
              <w:t>12</w:t>
            </w:r>
          </w:p>
        </w:tc>
      </w:tr>
      <w:tr w:rsidR="00BC5284" w:rsidRPr="00BC5284" w14:paraId="31DBD31D"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E4A205C" w14:textId="77777777" w:rsidR="00BC5284" w:rsidRPr="00BC5284" w:rsidRDefault="00BC5284">
            <w:pPr>
              <w:pStyle w:val="TableTextStocktake"/>
            </w:pPr>
            <w:r w:rsidRPr="00BC5284">
              <w:t>Yarriambiack (S)</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CC86294" w14:textId="77777777" w:rsidR="00BC5284" w:rsidRPr="00BC5284" w:rsidRDefault="00BC5284">
            <w:pPr>
              <w:pStyle w:val="TableTextStocktake"/>
            </w:pPr>
            <w:r w:rsidRPr="00BC5284">
              <w:t>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E7ABCF5" w14:textId="77777777" w:rsidR="00BC5284" w:rsidRPr="00BC5284" w:rsidRDefault="00BC5284">
            <w:pPr>
              <w:pStyle w:val="TableTextStocktake"/>
              <w:jc w:val="right"/>
            </w:pPr>
            <w:r w:rsidRPr="00BC5284">
              <w:t>7,326</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5AFB9C8" w14:textId="77777777" w:rsidR="00BC5284" w:rsidRPr="00BC5284" w:rsidRDefault="00BC5284">
            <w:pPr>
              <w:pStyle w:val="TableTextStocktake"/>
              <w:jc w:val="right"/>
            </w:pPr>
            <w:r w:rsidRPr="00BC5284">
              <w:t>6,658</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176D8AB" w14:textId="77777777" w:rsidR="00BC5284" w:rsidRPr="00BC5284" w:rsidRDefault="00BC5284">
            <w:pPr>
              <w:pStyle w:val="TableTextStocktake"/>
              <w:jc w:val="right"/>
            </w:pPr>
            <w:r w:rsidRPr="00BC5284">
              <w:t>12</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762D5A4" w14:textId="77777777" w:rsidR="00BC5284" w:rsidRPr="00BC5284" w:rsidRDefault="00BC5284">
            <w:pPr>
              <w:pStyle w:val="TableTextStocktake"/>
              <w:jc w:val="right"/>
            </w:pPr>
            <w:r w:rsidRPr="00BC5284">
              <w:t>62</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5AAACED" w14:textId="77777777" w:rsidR="00BC5284" w:rsidRPr="00BC5284" w:rsidRDefault="00BC5284">
            <w:pPr>
              <w:pStyle w:val="TableTextStocktake"/>
              <w:jc w:val="right"/>
            </w:pPr>
            <w:r w:rsidRPr="00BC5284">
              <w:t>74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FB8CA5A"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F37B8C3" w14:textId="77777777" w:rsidR="00BC5284" w:rsidRPr="00BC5284" w:rsidRDefault="00BC5284">
            <w:pPr>
              <w:pStyle w:val="TableTextStocktake"/>
              <w:jc w:val="right"/>
            </w:pPr>
            <w:r w:rsidRPr="00BC5284">
              <w:t>74</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7B7D10F" w14:textId="77777777" w:rsidR="00BC5284" w:rsidRPr="00BC5284" w:rsidRDefault="00BC5284">
            <w:pPr>
              <w:pStyle w:val="TableTextStocktake"/>
              <w:jc w:val="right"/>
            </w:pPr>
            <w:r w:rsidRPr="00BC5284">
              <w:t>92</w:t>
            </w:r>
          </w:p>
        </w:tc>
      </w:tr>
      <w:tr w:rsidR="00BC5284" w:rsidRPr="00BC5284" w14:paraId="553014AD" w14:textId="77777777" w:rsidTr="00125A6D">
        <w:trPr>
          <w:trHeight w:val="60"/>
        </w:trPr>
        <w:tc>
          <w:tcPr>
            <w:tcW w:w="2501" w:type="dxa"/>
            <w:tcBorders>
              <w:top w:val="single" w:sz="2" w:space="0" w:color="000000"/>
              <w:left w:val="single" w:sz="6" w:space="0" w:color="000000"/>
              <w:bottom w:val="single" w:sz="6" w:space="0" w:color="auto"/>
              <w:right w:val="single" w:sz="6" w:space="0" w:color="000000"/>
            </w:tcBorders>
            <w:tcMar>
              <w:top w:w="57" w:type="dxa"/>
              <w:left w:w="80" w:type="dxa"/>
              <w:bottom w:w="113" w:type="dxa"/>
              <w:right w:w="80" w:type="dxa"/>
            </w:tcMar>
          </w:tcPr>
          <w:p w14:paraId="593ECEE2"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6" w:space="0" w:color="auto"/>
              <w:right w:val="single" w:sz="6" w:space="0" w:color="000000"/>
            </w:tcBorders>
            <w:tcMar>
              <w:top w:w="57" w:type="dxa"/>
              <w:left w:w="80" w:type="dxa"/>
              <w:bottom w:w="113" w:type="dxa"/>
              <w:right w:w="80" w:type="dxa"/>
            </w:tcMar>
          </w:tcPr>
          <w:p w14:paraId="59939BA7"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EC7308F" w14:textId="77777777" w:rsidR="00BC5284" w:rsidRPr="00BC5284" w:rsidRDefault="00BC5284">
            <w:pPr>
              <w:pStyle w:val="TableTextStocktake"/>
              <w:jc w:val="right"/>
            </w:pPr>
            <w:r w:rsidRPr="00BC5284">
              <w:rPr>
                <w:rFonts w:ascii="FreightSans Pro Bold" w:hAnsi="FreightSans Pro Bold" w:cs="FreightSans Pro Bold"/>
                <w:b/>
                <w:bCs/>
              </w:rPr>
              <w:t>75,586</w:t>
            </w:r>
          </w:p>
        </w:tc>
        <w:tc>
          <w:tcPr>
            <w:tcW w:w="9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A9E9E17" w14:textId="77777777" w:rsidR="00BC5284" w:rsidRPr="00BC5284" w:rsidRDefault="00BC5284">
            <w:pPr>
              <w:pStyle w:val="TableTextStocktake"/>
              <w:jc w:val="right"/>
            </w:pPr>
            <w:r w:rsidRPr="00BC5284">
              <w:rPr>
                <w:rFonts w:ascii="FreightSans Pro Bold" w:hAnsi="FreightSans Pro Bold" w:cs="FreightSans Pro Bold"/>
                <w:b/>
                <w:bCs/>
              </w:rPr>
              <w:t>128,270</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2239E6B" w14:textId="77777777" w:rsidR="00BC5284" w:rsidRPr="00BC5284" w:rsidRDefault="00BC5284">
            <w:pPr>
              <w:pStyle w:val="TableTextStocktake"/>
              <w:jc w:val="right"/>
            </w:pPr>
            <w:r w:rsidRPr="00BC5284">
              <w:rPr>
                <w:rFonts w:ascii="FreightSans Pro Bold" w:hAnsi="FreightSans Pro Bold" w:cs="FreightSans Pro Bold"/>
                <w:b/>
                <w:bCs/>
              </w:rPr>
              <w:t>174</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B811BFB" w14:textId="77777777" w:rsidR="00BC5284" w:rsidRPr="00BC5284" w:rsidRDefault="00BC5284">
            <w:pPr>
              <w:pStyle w:val="TableTextStocktake"/>
              <w:jc w:val="right"/>
            </w:pPr>
            <w:r w:rsidRPr="00BC5284">
              <w:rPr>
                <w:rFonts w:ascii="FreightSans Pro Bold" w:hAnsi="FreightSans Pro Bold" w:cs="FreightSans Pro Bold"/>
                <w:b/>
                <w:bCs/>
              </w:rPr>
              <w:t>1,349</w:t>
            </w:r>
          </w:p>
        </w:tc>
        <w:tc>
          <w:tcPr>
            <w:tcW w:w="70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31B2D01" w14:textId="77777777" w:rsidR="00BC5284" w:rsidRPr="00BC5284" w:rsidRDefault="00BC5284">
            <w:pPr>
              <w:pStyle w:val="TableTextStocktake"/>
              <w:jc w:val="right"/>
            </w:pPr>
            <w:r w:rsidRPr="00BC5284">
              <w:rPr>
                <w:rFonts w:ascii="FreightSans Pro Bold" w:hAnsi="FreightSans Pro Bold" w:cs="FreightSans Pro Bold"/>
                <w:b/>
                <w:bCs/>
              </w:rPr>
              <w:t>1,523</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49A280D" w14:textId="77777777" w:rsidR="00BC5284" w:rsidRPr="00BC5284" w:rsidRDefault="00BC5284">
            <w:pPr>
              <w:pStyle w:val="TableTextStocktake"/>
              <w:jc w:val="right"/>
            </w:pPr>
            <w:r w:rsidRPr="00BC5284">
              <w:rPr>
                <w:rFonts w:ascii="FreightSans Pro Bold" w:hAnsi="FreightSans Pro Bold" w:cs="FreightSans Pro Bold"/>
                <w:b/>
                <w:bCs/>
              </w:rPr>
              <w:t>42</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8FF4666" w14:textId="77777777" w:rsidR="00BC5284" w:rsidRPr="00BC5284" w:rsidRDefault="00BC5284">
            <w:pPr>
              <w:pStyle w:val="TableTextStocktake"/>
              <w:jc w:val="right"/>
            </w:pPr>
            <w:r w:rsidRPr="00BC5284">
              <w:rPr>
                <w:rFonts w:ascii="FreightSans Pro Bold" w:hAnsi="FreightSans Pro Bold" w:cs="FreightSans Pro Bold"/>
                <w:b/>
                <w:bCs/>
              </w:rPr>
              <w:t>1,565</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43CA26D" w14:textId="77777777" w:rsidR="00BC5284" w:rsidRPr="00BC5284" w:rsidRDefault="00BC5284">
            <w:pPr>
              <w:pStyle w:val="TableTextStocktake"/>
              <w:jc w:val="right"/>
            </w:pPr>
            <w:r w:rsidRPr="00BC5284">
              <w:rPr>
                <w:rFonts w:ascii="FreightSans Pro Bold" w:hAnsi="FreightSans Pro Bold" w:cs="FreightSans Pro Bold"/>
                <w:b/>
                <w:bCs/>
              </w:rPr>
              <w:t>7,321</w:t>
            </w:r>
          </w:p>
        </w:tc>
      </w:tr>
      <w:tr w:rsidR="00BC5284" w:rsidRPr="00BC5284" w14:paraId="169B5F51" w14:textId="77777777" w:rsidTr="00125A6D">
        <w:trPr>
          <w:trHeight w:val="60"/>
        </w:trPr>
        <w:tc>
          <w:tcPr>
            <w:tcW w:w="2501" w:type="dxa"/>
            <w:tcBorders>
              <w:top w:val="single" w:sz="6" w:space="0" w:color="auto"/>
              <w:left w:val="single" w:sz="6" w:space="0" w:color="000000"/>
              <w:bottom w:val="single" w:sz="2" w:space="0" w:color="000000"/>
              <w:right w:val="single" w:sz="6" w:space="0" w:color="000000"/>
            </w:tcBorders>
            <w:tcMar>
              <w:top w:w="170" w:type="dxa"/>
              <w:left w:w="80" w:type="dxa"/>
              <w:bottom w:w="57" w:type="dxa"/>
              <w:right w:w="80" w:type="dxa"/>
            </w:tcMar>
          </w:tcPr>
          <w:p w14:paraId="30960C09" w14:textId="77777777" w:rsidR="00BC5284" w:rsidRPr="00BC5284" w:rsidRDefault="00BC5284">
            <w:pPr>
              <w:pStyle w:val="TableTextStocktake"/>
            </w:pPr>
            <w:r w:rsidRPr="00BC5284">
              <w:t>Alpine Resorts</w:t>
            </w:r>
          </w:p>
        </w:tc>
        <w:tc>
          <w:tcPr>
            <w:tcW w:w="2111" w:type="dxa"/>
            <w:tcBorders>
              <w:top w:val="single" w:sz="6" w:space="0" w:color="auto"/>
              <w:left w:val="single" w:sz="6" w:space="0" w:color="000000"/>
              <w:bottom w:val="single" w:sz="2" w:space="0" w:color="000000"/>
              <w:right w:val="single" w:sz="6" w:space="0" w:color="000000"/>
            </w:tcBorders>
            <w:tcMar>
              <w:top w:w="170" w:type="dxa"/>
              <w:left w:w="80" w:type="dxa"/>
              <w:bottom w:w="57" w:type="dxa"/>
              <w:right w:w="80" w:type="dxa"/>
            </w:tcMar>
          </w:tcPr>
          <w:p w14:paraId="07589149" w14:textId="77777777" w:rsidR="00BC5284" w:rsidRPr="00BC5284" w:rsidRDefault="00BC5284">
            <w:pPr>
              <w:pStyle w:val="TableTextStocktake"/>
            </w:pPr>
            <w:r w:rsidRPr="00BC5284">
              <w:t>Non-LGA</w:t>
            </w:r>
          </w:p>
        </w:tc>
        <w:tc>
          <w:tcPr>
            <w:tcW w:w="65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BCA5317" w14:textId="77777777" w:rsidR="00BC5284" w:rsidRPr="00BC5284" w:rsidRDefault="00BC5284">
            <w:pPr>
              <w:pStyle w:val="TableTextStocktake"/>
              <w:jc w:val="right"/>
            </w:pPr>
            <w:r w:rsidRPr="00BC5284">
              <w:t>N/A</w:t>
            </w:r>
          </w:p>
        </w:tc>
        <w:tc>
          <w:tcPr>
            <w:tcW w:w="9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BE294B0" w14:textId="77777777" w:rsidR="00BC5284" w:rsidRPr="00BC5284" w:rsidRDefault="00BC5284">
            <w:pPr>
              <w:pStyle w:val="TableTextStocktake"/>
              <w:jc w:val="right"/>
            </w:pPr>
            <w:r w:rsidRPr="00BC5284">
              <w:t>N/A</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E6EFD2D" w14:textId="77777777" w:rsidR="00BC5284" w:rsidRPr="00BC5284" w:rsidRDefault="00BC5284">
            <w:pPr>
              <w:pStyle w:val="TableTextStocktake"/>
              <w:jc w:val="right"/>
            </w:pPr>
            <w:r w:rsidRPr="00BC5284">
              <w:t>1</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2F38E01" w14:textId="77777777" w:rsidR="00BC5284" w:rsidRPr="00BC5284" w:rsidRDefault="00BC5284">
            <w:pPr>
              <w:pStyle w:val="TableTextStocktake"/>
              <w:jc w:val="right"/>
            </w:pPr>
            <w:r w:rsidRPr="00BC5284">
              <w:t>0</w:t>
            </w:r>
          </w:p>
        </w:tc>
        <w:tc>
          <w:tcPr>
            <w:tcW w:w="70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49B69FF" w14:textId="77777777" w:rsidR="00BC5284" w:rsidRPr="00BC5284" w:rsidRDefault="00BC5284">
            <w:pPr>
              <w:pStyle w:val="TableTextStocktake"/>
              <w:jc w:val="right"/>
            </w:pPr>
            <w:r w:rsidRPr="00BC5284">
              <w:t>1</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93E26DD" w14:textId="77777777" w:rsidR="00BC5284" w:rsidRPr="00BC5284" w:rsidRDefault="00BC5284">
            <w:pPr>
              <w:pStyle w:val="TableTextStocktake"/>
              <w:jc w:val="right"/>
            </w:pPr>
            <w:r w:rsidRPr="00BC5284">
              <w:t>0</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065D436" w14:textId="77777777" w:rsidR="00BC5284" w:rsidRPr="00BC5284" w:rsidRDefault="00BC5284">
            <w:pPr>
              <w:pStyle w:val="TableTextStocktake"/>
              <w:jc w:val="right"/>
            </w:pPr>
            <w:r w:rsidRPr="00BC5284">
              <w:t>1</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D8AF30F" w14:textId="77777777" w:rsidR="00BC5284" w:rsidRPr="00BC5284" w:rsidRDefault="00BC5284">
            <w:pPr>
              <w:pStyle w:val="TableTextStocktake"/>
              <w:jc w:val="right"/>
            </w:pPr>
            <w:r w:rsidRPr="00BC5284">
              <w:t>1</w:t>
            </w:r>
          </w:p>
        </w:tc>
      </w:tr>
      <w:tr w:rsidR="00BC5284" w:rsidRPr="00BC5284" w14:paraId="1FF79F16"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A46A3C" w14:textId="77777777" w:rsidR="00BC5284" w:rsidRPr="00BC5284" w:rsidRDefault="00BC5284">
            <w:pPr>
              <w:pStyle w:val="TableTextStocktake"/>
            </w:pPr>
            <w:r w:rsidRPr="00BC5284">
              <w:t xml:space="preserve">   Falls Creek (ARMB)</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8C6865" w14:textId="77777777" w:rsidR="00BC5284" w:rsidRPr="00BC5284" w:rsidRDefault="00BC5284">
            <w:pPr>
              <w:pStyle w:val="TableTextStocktake"/>
            </w:pPr>
            <w:r w:rsidRPr="00BC5284">
              <w:t>Non-LGA</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8DDA69" w14:textId="77777777" w:rsidR="00BC5284" w:rsidRPr="00BC5284" w:rsidRDefault="00BC5284">
            <w:pPr>
              <w:pStyle w:val="TableTextStocktake"/>
              <w:jc w:val="right"/>
            </w:pPr>
            <w:r w:rsidRPr="00BC5284">
              <w:t>N/A</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00C163" w14:textId="77777777" w:rsidR="00BC5284" w:rsidRPr="00BC5284" w:rsidRDefault="00BC5284">
            <w:pPr>
              <w:pStyle w:val="TableTextStocktake"/>
              <w:jc w:val="right"/>
            </w:pPr>
            <w:r w:rsidRPr="00BC5284">
              <w:t>N/A</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07EB99"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E6375B" w14:textId="77777777" w:rsidR="00BC5284" w:rsidRPr="00BC5284" w:rsidRDefault="00BC5284">
            <w:pPr>
              <w:pStyle w:val="TableTextStocktake"/>
              <w:jc w:val="right"/>
            </w:pPr>
            <w:r w:rsidRPr="00BC5284">
              <w:t>-</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E671C1"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A6CED4"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59936D"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79928B" w14:textId="77777777" w:rsidR="00BC5284" w:rsidRPr="00BC5284" w:rsidRDefault="00BC5284">
            <w:pPr>
              <w:pStyle w:val="TableTextStocktake"/>
              <w:jc w:val="right"/>
            </w:pPr>
            <w:r w:rsidRPr="00BC5284">
              <w:t>-</w:t>
            </w:r>
          </w:p>
        </w:tc>
      </w:tr>
      <w:tr w:rsidR="00BC5284" w:rsidRPr="00BC5284" w14:paraId="7DF770C4"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9ED87E" w14:textId="77777777" w:rsidR="00BC5284" w:rsidRPr="00BC5284" w:rsidRDefault="00BC5284">
            <w:pPr>
              <w:pStyle w:val="TableTextStocktake"/>
            </w:pPr>
            <w:r w:rsidRPr="00BC5284">
              <w:t xml:space="preserve">   Mt Buller &amp; Mt Stirling (ARMB)</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E4613E" w14:textId="77777777" w:rsidR="00BC5284" w:rsidRPr="00BC5284" w:rsidRDefault="00BC5284">
            <w:pPr>
              <w:pStyle w:val="TableTextStocktake"/>
            </w:pPr>
            <w:r w:rsidRPr="00BC5284">
              <w:t>Non-Lga / Rural Small</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7370F3" w14:textId="77777777" w:rsidR="00BC5284" w:rsidRPr="00BC5284" w:rsidRDefault="00BC5284">
            <w:pPr>
              <w:pStyle w:val="TableTextStocktake"/>
              <w:jc w:val="right"/>
            </w:pPr>
            <w:r w:rsidRPr="00BC5284">
              <w:t>N/A</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C0E38E" w14:textId="77777777" w:rsidR="00BC5284" w:rsidRPr="00BC5284" w:rsidRDefault="00BC5284">
            <w:pPr>
              <w:pStyle w:val="TableTextStocktake"/>
              <w:jc w:val="right"/>
            </w:pPr>
            <w:r w:rsidRPr="00BC5284">
              <w:t>N/A</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E6B127"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26F4AA" w14:textId="77777777" w:rsidR="00BC5284" w:rsidRPr="00BC5284" w:rsidRDefault="00BC5284">
            <w:pPr>
              <w:pStyle w:val="TableTextStocktake"/>
              <w:jc w:val="right"/>
            </w:pPr>
            <w:r w:rsidRPr="00BC5284">
              <w:t>-</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851340"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402A88"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AC8AA9"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503468" w14:textId="77777777" w:rsidR="00BC5284" w:rsidRPr="00BC5284" w:rsidRDefault="00BC5284">
            <w:pPr>
              <w:pStyle w:val="TableTextStocktake"/>
              <w:jc w:val="right"/>
            </w:pPr>
            <w:r w:rsidRPr="00BC5284">
              <w:t>-</w:t>
            </w:r>
          </w:p>
        </w:tc>
      </w:tr>
      <w:tr w:rsidR="00BC5284" w:rsidRPr="00BC5284" w14:paraId="6E2FEE2B"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AE05AB" w14:textId="77777777" w:rsidR="00BC5284" w:rsidRPr="00BC5284" w:rsidRDefault="00BC5284">
            <w:pPr>
              <w:pStyle w:val="TableTextStocktake"/>
            </w:pPr>
            <w:r w:rsidRPr="00BC5284">
              <w:t xml:space="preserve">   Mt Hotham (ARMB)</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1C2B57" w14:textId="77777777" w:rsidR="00BC5284" w:rsidRPr="00BC5284" w:rsidRDefault="00BC5284">
            <w:pPr>
              <w:pStyle w:val="TableTextStocktake"/>
            </w:pPr>
            <w:r w:rsidRPr="00BC5284">
              <w:t>Non-LGA</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B7879D" w14:textId="77777777" w:rsidR="00BC5284" w:rsidRPr="00BC5284" w:rsidRDefault="00BC5284">
            <w:pPr>
              <w:pStyle w:val="TableTextStocktake"/>
              <w:jc w:val="right"/>
            </w:pPr>
            <w:r w:rsidRPr="00BC5284">
              <w:t>N/A</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DA782A" w14:textId="77777777" w:rsidR="00BC5284" w:rsidRPr="00BC5284" w:rsidRDefault="00BC5284">
            <w:pPr>
              <w:pStyle w:val="TableTextStocktake"/>
              <w:jc w:val="right"/>
            </w:pPr>
            <w:r w:rsidRPr="00BC5284">
              <w:t>N/A</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40ACD6"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3375D2" w14:textId="77777777" w:rsidR="00BC5284" w:rsidRPr="00BC5284" w:rsidRDefault="00BC5284">
            <w:pPr>
              <w:pStyle w:val="TableTextStocktake"/>
              <w:jc w:val="right"/>
            </w:pPr>
            <w:r w:rsidRPr="00BC5284">
              <w:t>-</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3BB83B"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177916"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8D300A"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78AA73" w14:textId="77777777" w:rsidR="00BC5284" w:rsidRPr="00BC5284" w:rsidRDefault="00BC5284">
            <w:pPr>
              <w:pStyle w:val="TableTextStocktake"/>
              <w:jc w:val="right"/>
            </w:pPr>
            <w:r w:rsidRPr="00BC5284">
              <w:t>-</w:t>
            </w:r>
          </w:p>
        </w:tc>
      </w:tr>
      <w:tr w:rsidR="00BC5284" w:rsidRPr="00BC5284" w14:paraId="36C02091"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D0D325" w14:textId="77777777" w:rsidR="00BC5284" w:rsidRPr="00BC5284" w:rsidRDefault="00BC5284">
            <w:pPr>
              <w:pStyle w:val="TableTextStocktake"/>
            </w:pPr>
            <w:r w:rsidRPr="00BC5284">
              <w:t xml:space="preserve">   Southern (ARMB)</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40FF18" w14:textId="77777777" w:rsidR="00BC5284" w:rsidRPr="00BC5284" w:rsidRDefault="00BC5284">
            <w:pPr>
              <w:pStyle w:val="TableTextStocktake"/>
            </w:pPr>
            <w:r w:rsidRPr="00BC5284">
              <w:t>Non-LGA</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870E97" w14:textId="77777777" w:rsidR="00BC5284" w:rsidRPr="00BC5284" w:rsidRDefault="00BC5284">
            <w:pPr>
              <w:pStyle w:val="TableTextStocktake"/>
              <w:jc w:val="right"/>
            </w:pPr>
            <w:r w:rsidRPr="00BC5284">
              <w:t>N/A</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478CA7" w14:textId="77777777" w:rsidR="00BC5284" w:rsidRPr="00BC5284" w:rsidRDefault="00BC5284">
            <w:pPr>
              <w:pStyle w:val="TableTextStocktake"/>
              <w:jc w:val="right"/>
            </w:pPr>
            <w:r w:rsidRPr="00BC5284">
              <w:t>N/A</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EB9552"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CC3C88" w14:textId="77777777" w:rsidR="00BC5284" w:rsidRPr="00BC5284" w:rsidRDefault="00BC5284">
            <w:pPr>
              <w:pStyle w:val="TableTextStocktake"/>
              <w:jc w:val="right"/>
            </w:pPr>
            <w:r w:rsidRPr="00BC5284">
              <w:t>-</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3B3420"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4BA03E"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4F4497" w14:textId="77777777" w:rsidR="00BC5284" w:rsidRPr="00BC5284" w:rsidRDefault="00BC5284">
            <w:pPr>
              <w:pStyle w:val="TableTextStocktake"/>
              <w:jc w:val="right"/>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071511" w14:textId="77777777" w:rsidR="00BC5284" w:rsidRPr="00BC5284" w:rsidRDefault="00BC5284">
            <w:pPr>
              <w:pStyle w:val="TableTextStocktake"/>
              <w:jc w:val="right"/>
            </w:pPr>
            <w:r w:rsidRPr="00BC5284">
              <w:t>-</w:t>
            </w:r>
          </w:p>
        </w:tc>
      </w:tr>
      <w:tr w:rsidR="00BC5284" w:rsidRPr="00BC5284" w14:paraId="3BBE3572"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AE386A" w14:textId="77777777" w:rsidR="00BC5284" w:rsidRPr="00BC5284" w:rsidRDefault="00BC5284">
            <w:pPr>
              <w:pStyle w:val="TableTextStocktake"/>
            </w:pPr>
            <w:r w:rsidRPr="00BC5284">
              <w:t>French Island and Sandstone Island</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B6F6E6" w14:textId="77777777" w:rsidR="00BC5284" w:rsidRPr="00BC5284" w:rsidRDefault="00BC5284">
            <w:pPr>
              <w:pStyle w:val="TableTextStocktake"/>
            </w:pPr>
            <w:r w:rsidRPr="00BC5284">
              <w:t>Non-LGA</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2ABED3" w14:textId="77777777" w:rsidR="00BC5284" w:rsidRPr="00BC5284" w:rsidRDefault="00BC5284">
            <w:pPr>
              <w:pStyle w:val="TableTextStocktake"/>
              <w:jc w:val="right"/>
            </w:pPr>
            <w:r w:rsidRPr="00BC5284">
              <w:t>N/A</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E7ACB9" w14:textId="77777777" w:rsidR="00BC5284" w:rsidRPr="00BC5284" w:rsidRDefault="00BC5284">
            <w:pPr>
              <w:pStyle w:val="TableTextStocktake"/>
              <w:jc w:val="right"/>
            </w:pPr>
            <w:r w:rsidRPr="00BC5284">
              <w:t>N/A</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DA09A7"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B11A58" w14:textId="77777777" w:rsidR="00BC5284" w:rsidRPr="00BC5284" w:rsidRDefault="00BC5284">
            <w:pPr>
              <w:pStyle w:val="TableTextStocktake"/>
              <w:jc w:val="right"/>
            </w:pPr>
            <w:r w:rsidRPr="00BC5284">
              <w:t>25</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4C712C" w14:textId="77777777" w:rsidR="00BC5284" w:rsidRPr="00BC5284" w:rsidRDefault="00BC5284">
            <w:pPr>
              <w:pStyle w:val="TableTextStocktake"/>
              <w:jc w:val="right"/>
            </w:pPr>
            <w:r w:rsidRPr="00BC5284">
              <w:t>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9E583D"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ABD8ED" w14:textId="77777777" w:rsidR="00BC5284" w:rsidRPr="00BC5284" w:rsidRDefault="00BC5284">
            <w:pPr>
              <w:pStyle w:val="TableTextStocktake"/>
              <w:jc w:val="right"/>
            </w:pPr>
            <w:r w:rsidRPr="00BC5284">
              <w:t>25</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ADE1DA" w14:textId="77777777" w:rsidR="00BC5284" w:rsidRPr="00BC5284" w:rsidRDefault="00BC5284">
            <w:pPr>
              <w:pStyle w:val="TableTextStocktake"/>
              <w:jc w:val="right"/>
            </w:pPr>
            <w:r w:rsidRPr="00BC5284">
              <w:t>25</w:t>
            </w:r>
          </w:p>
        </w:tc>
      </w:tr>
      <w:tr w:rsidR="00BC5284" w:rsidRPr="00BC5284" w14:paraId="6B9B1C59" w14:textId="77777777" w:rsidTr="00125A6D">
        <w:trPr>
          <w:trHeight w:val="60"/>
        </w:trPr>
        <w:tc>
          <w:tcPr>
            <w:tcW w:w="25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B153AAC" w14:textId="77777777" w:rsidR="00BC5284" w:rsidRPr="00BC5284" w:rsidRDefault="00BC5284">
            <w:pPr>
              <w:pStyle w:val="TableTextStocktake"/>
            </w:pPr>
            <w:r w:rsidRPr="00BC5284">
              <w:t>Port of Melbourne</w:t>
            </w:r>
          </w:p>
        </w:tc>
        <w:tc>
          <w:tcPr>
            <w:tcW w:w="211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8788D4F" w14:textId="77777777" w:rsidR="00BC5284" w:rsidRPr="00BC5284" w:rsidRDefault="00BC5284">
            <w:pPr>
              <w:pStyle w:val="TableTextStocktake"/>
            </w:pPr>
            <w:r w:rsidRPr="00BC5284">
              <w:t>Non-LGA</w:t>
            </w:r>
          </w:p>
        </w:tc>
        <w:tc>
          <w:tcPr>
            <w:tcW w:w="65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3D1EBB6" w14:textId="77777777" w:rsidR="00BC5284" w:rsidRPr="00BC5284" w:rsidRDefault="00BC5284">
            <w:pPr>
              <w:pStyle w:val="TableTextStocktake"/>
              <w:jc w:val="right"/>
            </w:pPr>
            <w:r w:rsidRPr="00BC5284">
              <w:t>N/A</w:t>
            </w:r>
          </w:p>
        </w:tc>
        <w:tc>
          <w:tcPr>
            <w:tcW w:w="9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74C810E" w14:textId="77777777" w:rsidR="00BC5284" w:rsidRPr="00BC5284" w:rsidRDefault="00BC5284">
            <w:pPr>
              <w:pStyle w:val="TableTextStocktake"/>
              <w:jc w:val="right"/>
            </w:pPr>
            <w:r w:rsidRPr="00BC5284">
              <w:t>N/A</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CFFCB0F" w14:textId="77777777" w:rsidR="00BC5284" w:rsidRPr="00BC5284" w:rsidRDefault="00BC5284">
            <w:pPr>
              <w:pStyle w:val="TableTextStocktake"/>
              <w:jc w:val="right"/>
            </w:pPr>
            <w:r w:rsidRPr="00BC5284">
              <w:t>7</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C1DB12D" w14:textId="77777777" w:rsidR="00BC5284" w:rsidRPr="00BC5284" w:rsidRDefault="00BC5284">
            <w:pPr>
              <w:pStyle w:val="TableTextStocktake"/>
              <w:jc w:val="right"/>
            </w:pPr>
            <w:r w:rsidRPr="00BC5284">
              <w:t>3</w:t>
            </w:r>
          </w:p>
        </w:tc>
        <w:tc>
          <w:tcPr>
            <w:tcW w:w="70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A22E410"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794160D" w14:textId="77777777" w:rsidR="00BC5284" w:rsidRPr="00BC5284" w:rsidRDefault="00BC5284">
            <w:pPr>
              <w:pStyle w:val="TableTextStocktake"/>
              <w:jc w:val="right"/>
            </w:pPr>
            <w:r w:rsidRPr="00BC5284">
              <w:t>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71EBB34" w14:textId="77777777" w:rsidR="00BC5284" w:rsidRPr="00BC5284" w:rsidRDefault="00BC5284">
            <w:pPr>
              <w:pStyle w:val="TableTextStocktake"/>
              <w:jc w:val="right"/>
            </w:pPr>
            <w:r w:rsidRPr="00BC5284">
              <w:t>10</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100827F" w14:textId="77777777" w:rsidR="00BC5284" w:rsidRPr="00BC5284" w:rsidRDefault="00BC5284">
            <w:pPr>
              <w:pStyle w:val="TableTextStocktake"/>
              <w:jc w:val="right"/>
            </w:pPr>
            <w:r w:rsidRPr="00BC5284">
              <w:t>15</w:t>
            </w:r>
          </w:p>
        </w:tc>
      </w:tr>
      <w:tr w:rsidR="00BC5284" w:rsidRPr="00BC5284" w14:paraId="5D550F92" w14:textId="77777777" w:rsidTr="00125A6D">
        <w:trPr>
          <w:trHeight w:val="60"/>
        </w:trPr>
        <w:tc>
          <w:tcPr>
            <w:tcW w:w="2501" w:type="dxa"/>
            <w:tcBorders>
              <w:top w:val="single" w:sz="2" w:space="0" w:color="000000"/>
              <w:left w:val="single" w:sz="6" w:space="0" w:color="000000"/>
              <w:bottom w:val="single" w:sz="6" w:space="0" w:color="auto"/>
              <w:right w:val="single" w:sz="6" w:space="0" w:color="000000"/>
            </w:tcBorders>
            <w:tcMar>
              <w:top w:w="57" w:type="dxa"/>
              <w:left w:w="80" w:type="dxa"/>
              <w:bottom w:w="113" w:type="dxa"/>
              <w:right w:w="80" w:type="dxa"/>
            </w:tcMar>
          </w:tcPr>
          <w:p w14:paraId="389B76D9" w14:textId="77777777" w:rsidR="00BC5284" w:rsidRPr="00BC5284" w:rsidRDefault="00BC5284">
            <w:pPr>
              <w:pStyle w:val="NoParagraphStyle"/>
              <w:spacing w:line="240" w:lineRule="auto"/>
              <w:textAlignment w:val="auto"/>
              <w:rPr>
                <w:rFonts w:cs="Times New Roman"/>
                <w:color w:val="auto"/>
              </w:rPr>
            </w:pPr>
          </w:p>
        </w:tc>
        <w:tc>
          <w:tcPr>
            <w:tcW w:w="2111" w:type="dxa"/>
            <w:tcBorders>
              <w:top w:val="single" w:sz="2" w:space="0" w:color="000000"/>
              <w:left w:val="single" w:sz="6" w:space="0" w:color="000000"/>
              <w:bottom w:val="single" w:sz="6" w:space="0" w:color="auto"/>
              <w:right w:val="single" w:sz="6" w:space="0" w:color="000000"/>
            </w:tcBorders>
            <w:tcMar>
              <w:top w:w="57" w:type="dxa"/>
              <w:left w:w="80" w:type="dxa"/>
              <w:bottom w:w="113" w:type="dxa"/>
              <w:right w:w="80" w:type="dxa"/>
            </w:tcMar>
          </w:tcPr>
          <w:p w14:paraId="3F2B27B1"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759E885D" w14:textId="77777777" w:rsidR="00BC5284" w:rsidRPr="00BC5284" w:rsidRDefault="00BC5284">
            <w:pPr>
              <w:pStyle w:val="NoParagraphStyle"/>
              <w:spacing w:line="240" w:lineRule="auto"/>
              <w:textAlignment w:val="auto"/>
              <w:rPr>
                <w:rFonts w:cs="Times New Roman"/>
                <w:color w:val="auto"/>
              </w:rPr>
            </w:pPr>
          </w:p>
        </w:tc>
        <w:tc>
          <w:tcPr>
            <w:tcW w:w="967"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5DE25A89" w14:textId="77777777" w:rsidR="00BC5284" w:rsidRPr="00BC5284" w:rsidRDefault="00BC5284">
            <w:pPr>
              <w:pStyle w:val="NoParagraphStyle"/>
              <w:spacing w:line="240" w:lineRule="auto"/>
              <w:textAlignment w:val="auto"/>
              <w:rPr>
                <w:rFonts w:cs="Times New Roman"/>
                <w:color w:val="auto"/>
              </w:rPr>
            </w:pPr>
          </w:p>
        </w:tc>
        <w:tc>
          <w:tcPr>
            <w:tcW w:w="851"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4FB81242" w14:textId="77777777" w:rsidR="00BC5284" w:rsidRPr="00BC5284" w:rsidRDefault="00BC5284">
            <w:pPr>
              <w:pStyle w:val="TableTextStocktake"/>
              <w:jc w:val="right"/>
            </w:pPr>
            <w:r w:rsidRPr="00BC5284">
              <w:rPr>
                <w:rFonts w:ascii="FreightSans Pro Bold" w:hAnsi="FreightSans Pro Bold" w:cs="FreightSans Pro Bold"/>
                <w:b/>
                <w:bCs/>
              </w:rPr>
              <w:t>8</w:t>
            </w:r>
          </w:p>
        </w:tc>
        <w:tc>
          <w:tcPr>
            <w:tcW w:w="709"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63A15BAB" w14:textId="77777777" w:rsidR="00BC5284" w:rsidRPr="00BC5284" w:rsidRDefault="00BC5284">
            <w:pPr>
              <w:pStyle w:val="TableTextStocktake"/>
              <w:jc w:val="right"/>
            </w:pPr>
            <w:r w:rsidRPr="00BC5284">
              <w:rPr>
                <w:rFonts w:ascii="FreightSans Pro Bold" w:hAnsi="FreightSans Pro Bold" w:cs="FreightSans Pro Bold"/>
                <w:b/>
                <w:bCs/>
              </w:rPr>
              <w:t>28</w:t>
            </w:r>
          </w:p>
        </w:tc>
        <w:tc>
          <w:tcPr>
            <w:tcW w:w="708"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4046AC54" w14:textId="77777777" w:rsidR="00BC5284" w:rsidRPr="00BC5284" w:rsidRDefault="00BC5284">
            <w:pPr>
              <w:pStyle w:val="TableTextStocktake"/>
              <w:jc w:val="right"/>
            </w:pPr>
            <w:r w:rsidRPr="00BC5284">
              <w:rPr>
                <w:rFonts w:ascii="FreightSans Pro Bold" w:hAnsi="FreightSans Pro Bold" w:cs="FreightSans Pro Bold"/>
                <w:b/>
                <w:bCs/>
              </w:rPr>
              <w:t>36</w:t>
            </w:r>
          </w:p>
        </w:tc>
        <w:tc>
          <w:tcPr>
            <w:tcW w:w="709"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724DD9FF" w14:textId="77777777" w:rsidR="00BC5284" w:rsidRPr="00BC5284" w:rsidRDefault="00BC5284">
            <w:pPr>
              <w:pStyle w:val="TableTextStocktake"/>
              <w:jc w:val="right"/>
            </w:pPr>
            <w:r w:rsidRPr="00BC5284">
              <w:rPr>
                <w:rFonts w:ascii="FreightSans Pro Bold" w:hAnsi="FreightSans Pro Bold" w:cs="FreightSans Pro Bold"/>
                <w:b/>
                <w:bCs/>
              </w:rPr>
              <w:t>0</w:t>
            </w:r>
          </w:p>
        </w:tc>
        <w:tc>
          <w:tcPr>
            <w:tcW w:w="709"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2FB0F06B" w14:textId="77777777" w:rsidR="00BC5284" w:rsidRPr="00BC5284" w:rsidRDefault="00BC5284">
            <w:pPr>
              <w:pStyle w:val="TableTextStocktake"/>
              <w:jc w:val="right"/>
            </w:pPr>
            <w:r w:rsidRPr="00BC5284">
              <w:rPr>
                <w:rFonts w:ascii="FreightSans Pro Bold" w:hAnsi="FreightSans Pro Bold" w:cs="FreightSans Pro Bold"/>
                <w:b/>
                <w:bCs/>
              </w:rPr>
              <w:t>36</w:t>
            </w:r>
          </w:p>
        </w:tc>
        <w:tc>
          <w:tcPr>
            <w:tcW w:w="709" w:type="dxa"/>
            <w:tcBorders>
              <w:top w:val="single" w:sz="2" w:space="0" w:color="000000"/>
              <w:left w:val="single" w:sz="6" w:space="0" w:color="000000"/>
              <w:bottom w:val="single" w:sz="6" w:space="0" w:color="auto"/>
              <w:right w:val="single" w:sz="6" w:space="0" w:color="000000"/>
            </w:tcBorders>
            <w:tcMar>
              <w:top w:w="57" w:type="dxa"/>
              <w:left w:w="80" w:type="dxa"/>
              <w:bottom w:w="57" w:type="dxa"/>
              <w:right w:w="80" w:type="dxa"/>
            </w:tcMar>
          </w:tcPr>
          <w:p w14:paraId="3203F830" w14:textId="77777777" w:rsidR="00BC5284" w:rsidRPr="00BC5284" w:rsidRDefault="00BC5284">
            <w:pPr>
              <w:pStyle w:val="TableTextStocktake"/>
              <w:jc w:val="right"/>
            </w:pPr>
            <w:r w:rsidRPr="00BC5284">
              <w:rPr>
                <w:rFonts w:ascii="FreightSans Pro Bold" w:hAnsi="FreightSans Pro Bold" w:cs="FreightSans Pro Bold"/>
                <w:b/>
                <w:bCs/>
              </w:rPr>
              <w:t>41</w:t>
            </w:r>
          </w:p>
        </w:tc>
      </w:tr>
      <w:tr w:rsidR="00BC5284" w:rsidRPr="00BC5284" w14:paraId="3843E1A6" w14:textId="77777777" w:rsidTr="00125A6D">
        <w:trPr>
          <w:trHeight w:val="60"/>
        </w:trPr>
        <w:tc>
          <w:tcPr>
            <w:tcW w:w="2501" w:type="dxa"/>
            <w:tcBorders>
              <w:top w:val="single" w:sz="6" w:space="0" w:color="auto"/>
              <w:left w:val="single" w:sz="6" w:space="0" w:color="auto"/>
              <w:bottom w:val="single" w:sz="4" w:space="0" w:color="000000"/>
              <w:right w:val="single" w:sz="6" w:space="0" w:color="000000"/>
            </w:tcBorders>
            <w:shd w:val="clear" w:color="B9B9BA" w:fill="auto"/>
            <w:tcMar>
              <w:top w:w="170" w:type="dxa"/>
              <w:left w:w="80" w:type="dxa"/>
              <w:bottom w:w="170" w:type="dxa"/>
              <w:right w:w="80" w:type="dxa"/>
            </w:tcMar>
          </w:tcPr>
          <w:p w14:paraId="23432E7B" w14:textId="77777777" w:rsidR="00BC5284" w:rsidRPr="00BC5284" w:rsidRDefault="00BC5284">
            <w:pPr>
              <w:pStyle w:val="TableTextStocktake"/>
            </w:pPr>
            <w:r w:rsidRPr="00BC5284">
              <w:rPr>
                <w:rFonts w:ascii="FreightSans Pro Bold" w:hAnsi="FreightSans Pro Bold" w:cs="FreightSans Pro Bold"/>
                <w:b/>
                <w:bCs/>
              </w:rPr>
              <w:t>Total</w:t>
            </w:r>
          </w:p>
        </w:tc>
        <w:tc>
          <w:tcPr>
            <w:tcW w:w="2111"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635AE160" w14:textId="77777777" w:rsidR="00BC5284" w:rsidRPr="00BC5284" w:rsidRDefault="00BC5284">
            <w:pPr>
              <w:pStyle w:val="NoParagraphStyle"/>
              <w:spacing w:line="240" w:lineRule="auto"/>
              <w:textAlignment w:val="auto"/>
              <w:rPr>
                <w:rFonts w:cs="Times New Roman"/>
                <w:color w:val="auto"/>
              </w:rPr>
            </w:pPr>
          </w:p>
        </w:tc>
        <w:tc>
          <w:tcPr>
            <w:tcW w:w="658"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3084FEA9" w14:textId="77777777" w:rsidR="00BC5284" w:rsidRPr="00BC5284" w:rsidRDefault="00BC5284">
            <w:pPr>
              <w:pStyle w:val="NoParagraphStyle"/>
              <w:spacing w:line="240" w:lineRule="auto"/>
              <w:textAlignment w:val="auto"/>
              <w:rPr>
                <w:rFonts w:cs="Times New Roman"/>
                <w:color w:val="auto"/>
              </w:rPr>
            </w:pPr>
          </w:p>
        </w:tc>
        <w:tc>
          <w:tcPr>
            <w:tcW w:w="967"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792A6A9D" w14:textId="77777777" w:rsidR="00BC5284" w:rsidRPr="00BC5284" w:rsidRDefault="00BC5284">
            <w:pPr>
              <w:pStyle w:val="NoParagraphStyle"/>
              <w:spacing w:line="240" w:lineRule="auto"/>
              <w:textAlignment w:val="auto"/>
              <w:rPr>
                <w:rFonts w:cs="Times New Roman"/>
                <w:color w:val="auto"/>
              </w:rPr>
            </w:pPr>
          </w:p>
        </w:tc>
        <w:tc>
          <w:tcPr>
            <w:tcW w:w="851"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6B490557" w14:textId="77777777" w:rsidR="00BC5284" w:rsidRPr="00BC5284" w:rsidRDefault="00BC5284">
            <w:pPr>
              <w:pStyle w:val="TableTextStocktake"/>
              <w:jc w:val="right"/>
            </w:pPr>
            <w:r w:rsidRPr="00BC5284">
              <w:rPr>
                <w:rFonts w:ascii="FreightSans Pro Bold" w:hAnsi="FreightSans Pro Bold" w:cs="FreightSans Pro Bold"/>
                <w:b/>
                <w:bCs/>
              </w:rPr>
              <w:t>2,324</w:t>
            </w:r>
          </w:p>
        </w:tc>
        <w:tc>
          <w:tcPr>
            <w:tcW w:w="709"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6B5EC1A1" w14:textId="77777777" w:rsidR="00BC5284" w:rsidRPr="00BC5284" w:rsidRDefault="00BC5284">
            <w:pPr>
              <w:pStyle w:val="TableTextStocktake"/>
              <w:jc w:val="right"/>
            </w:pPr>
            <w:r w:rsidRPr="00BC5284">
              <w:rPr>
                <w:rFonts w:ascii="FreightSans Pro Bold" w:hAnsi="FreightSans Pro Bold" w:cs="FreightSans Pro Bold"/>
                <w:b/>
                <w:bCs/>
              </w:rPr>
              <w:t>17,992</w:t>
            </w:r>
          </w:p>
        </w:tc>
        <w:tc>
          <w:tcPr>
            <w:tcW w:w="708"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2D373467" w14:textId="77777777" w:rsidR="00BC5284" w:rsidRPr="00BC5284" w:rsidRDefault="00BC5284">
            <w:pPr>
              <w:pStyle w:val="TableTextStocktake"/>
              <w:jc w:val="right"/>
            </w:pPr>
            <w:r w:rsidRPr="00BC5284">
              <w:rPr>
                <w:rFonts w:ascii="FreightSans Pro Bold" w:hAnsi="FreightSans Pro Bold" w:cs="FreightSans Pro Bold"/>
                <w:b/>
                <w:bCs/>
              </w:rPr>
              <w:t>20,316</w:t>
            </w:r>
          </w:p>
        </w:tc>
        <w:tc>
          <w:tcPr>
            <w:tcW w:w="709"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39E21116" w14:textId="77777777" w:rsidR="00BC5284" w:rsidRPr="00BC5284" w:rsidRDefault="00BC5284">
            <w:pPr>
              <w:pStyle w:val="TableTextStocktake"/>
              <w:jc w:val="right"/>
            </w:pPr>
            <w:r w:rsidRPr="00BC5284">
              <w:rPr>
                <w:rFonts w:ascii="FreightSans Pro Bold" w:hAnsi="FreightSans Pro Bold" w:cs="FreightSans Pro Bold"/>
                <w:b/>
                <w:bCs/>
              </w:rPr>
              <w:t>1,103</w:t>
            </w:r>
          </w:p>
        </w:tc>
        <w:tc>
          <w:tcPr>
            <w:tcW w:w="709" w:type="dxa"/>
            <w:tcBorders>
              <w:top w:val="single" w:sz="6" w:space="0" w:color="auto"/>
              <w:left w:val="single" w:sz="6" w:space="0" w:color="000000"/>
              <w:bottom w:val="single" w:sz="4" w:space="0" w:color="000000"/>
              <w:right w:val="single" w:sz="6" w:space="0" w:color="000000"/>
            </w:tcBorders>
            <w:shd w:val="clear" w:color="B9B9BA" w:fill="auto"/>
            <w:tcMar>
              <w:top w:w="170" w:type="dxa"/>
              <w:left w:w="80" w:type="dxa"/>
              <w:bottom w:w="170" w:type="dxa"/>
              <w:right w:w="80" w:type="dxa"/>
            </w:tcMar>
          </w:tcPr>
          <w:p w14:paraId="30B63F47" w14:textId="77777777" w:rsidR="00BC5284" w:rsidRPr="00BC5284" w:rsidRDefault="00BC5284">
            <w:pPr>
              <w:pStyle w:val="TableTextStocktake"/>
              <w:jc w:val="right"/>
            </w:pPr>
            <w:r w:rsidRPr="00BC5284">
              <w:rPr>
                <w:rFonts w:ascii="FreightSans Pro Bold" w:hAnsi="FreightSans Pro Bold" w:cs="FreightSans Pro Bold"/>
                <w:b/>
                <w:bCs/>
              </w:rPr>
              <w:t>21,419</w:t>
            </w:r>
          </w:p>
        </w:tc>
        <w:tc>
          <w:tcPr>
            <w:tcW w:w="709" w:type="dxa"/>
            <w:tcBorders>
              <w:top w:val="single" w:sz="6" w:space="0" w:color="auto"/>
              <w:left w:val="single" w:sz="6" w:space="0" w:color="000000"/>
              <w:bottom w:val="single" w:sz="4" w:space="0" w:color="000000"/>
              <w:right w:val="single" w:sz="6" w:space="0" w:color="auto"/>
            </w:tcBorders>
            <w:shd w:val="clear" w:color="B9B9BA" w:fill="auto"/>
            <w:tcMar>
              <w:top w:w="170" w:type="dxa"/>
              <w:left w:w="80" w:type="dxa"/>
              <w:bottom w:w="170" w:type="dxa"/>
              <w:right w:w="80" w:type="dxa"/>
            </w:tcMar>
          </w:tcPr>
          <w:p w14:paraId="5AA648CE" w14:textId="77777777" w:rsidR="00BC5284" w:rsidRPr="00BC5284" w:rsidRDefault="00BC5284">
            <w:pPr>
              <w:pStyle w:val="TableTextStocktake"/>
              <w:jc w:val="right"/>
            </w:pPr>
            <w:r w:rsidRPr="00BC5284">
              <w:rPr>
                <w:rFonts w:ascii="FreightSans Pro Bold" w:hAnsi="FreightSans Pro Bold" w:cs="FreightSans Pro Bold"/>
                <w:b/>
                <w:bCs/>
              </w:rPr>
              <w:t>186,565</w:t>
            </w:r>
          </w:p>
        </w:tc>
      </w:tr>
      <w:tr w:rsidR="00BC5284" w:rsidRPr="00BC5284" w14:paraId="3BA60E49" w14:textId="77777777" w:rsidTr="00125A6D">
        <w:trPr>
          <w:trHeight w:val="60"/>
        </w:trPr>
        <w:tc>
          <w:tcPr>
            <w:tcW w:w="10632" w:type="dxa"/>
            <w:gridSpan w:val="10"/>
            <w:tcBorders>
              <w:top w:val="single" w:sz="4" w:space="0" w:color="000000"/>
              <w:left w:val="single" w:sz="6" w:space="0" w:color="000000"/>
              <w:bottom w:val="single" w:sz="6" w:space="0" w:color="000000"/>
              <w:right w:val="single" w:sz="6" w:space="0" w:color="000000"/>
            </w:tcBorders>
            <w:tcMar>
              <w:top w:w="113" w:type="dxa"/>
              <w:left w:w="80" w:type="dxa"/>
              <w:bottom w:w="113" w:type="dxa"/>
              <w:right w:w="80" w:type="dxa"/>
            </w:tcMar>
          </w:tcPr>
          <w:p w14:paraId="1F347CD7" w14:textId="77777777" w:rsidR="00BC5284" w:rsidRPr="00BC5284" w:rsidRDefault="00BC5284">
            <w:pPr>
              <w:pStyle w:val="TableTextStocktake"/>
            </w:pPr>
            <w:r w:rsidRPr="00BC5284">
              <w:rPr>
                <w:sz w:val="14"/>
                <w:szCs w:val="14"/>
              </w:rPr>
              <w:t>* VHR-listed places are counted in the individual place listings, as they are covered by a Heritage Overlay in planning schemes</w:t>
            </w:r>
          </w:p>
        </w:tc>
      </w:tr>
    </w:tbl>
    <w:p w14:paraId="6C7ED99D" w14:textId="77777777" w:rsidR="00BC5284" w:rsidRDefault="00BC5284">
      <w:pPr>
        <w:pStyle w:val="BasicParagraph"/>
      </w:pPr>
    </w:p>
    <w:tbl>
      <w:tblPr>
        <w:tblW w:w="0" w:type="auto"/>
        <w:tblInd w:w="8" w:type="dxa"/>
        <w:tblLayout w:type="fixed"/>
        <w:tblCellMar>
          <w:left w:w="0" w:type="dxa"/>
          <w:right w:w="0" w:type="dxa"/>
        </w:tblCellMar>
        <w:tblLook w:val="0000" w:firstRow="0" w:lastRow="0" w:firstColumn="0" w:lastColumn="0" w:noHBand="0" w:noVBand="0"/>
      </w:tblPr>
      <w:tblGrid>
        <w:gridCol w:w="1986"/>
        <w:gridCol w:w="1700"/>
        <w:gridCol w:w="620"/>
        <w:gridCol w:w="601"/>
        <w:gridCol w:w="556"/>
        <w:gridCol w:w="555"/>
        <w:gridCol w:w="645"/>
        <w:gridCol w:w="567"/>
        <w:gridCol w:w="478"/>
        <w:gridCol w:w="555"/>
        <w:gridCol w:w="809"/>
        <w:gridCol w:w="851"/>
        <w:gridCol w:w="709"/>
      </w:tblGrid>
      <w:tr w:rsidR="00BC5284" w:rsidRPr="00BC5284" w14:paraId="1CF966F3" w14:textId="77777777" w:rsidTr="001F4513">
        <w:trPr>
          <w:trHeight w:val="60"/>
        </w:trPr>
        <w:tc>
          <w:tcPr>
            <w:tcW w:w="10632" w:type="dxa"/>
            <w:gridSpan w:val="13"/>
            <w:tcBorders>
              <w:top w:val="single" w:sz="6" w:space="0" w:color="000000"/>
              <w:left w:val="single" w:sz="6" w:space="0" w:color="000000"/>
              <w:bottom w:val="single" w:sz="6" w:space="0" w:color="000000"/>
              <w:right w:val="single" w:sz="8" w:space="0" w:color="000000"/>
            </w:tcBorders>
            <w:tcMar>
              <w:top w:w="80" w:type="dxa"/>
              <w:left w:w="0" w:type="dxa"/>
              <w:bottom w:w="113" w:type="dxa"/>
              <w:right w:w="80" w:type="dxa"/>
            </w:tcMar>
          </w:tcPr>
          <w:p w14:paraId="596F46BB" w14:textId="77777777" w:rsidR="00BC5284" w:rsidRPr="00BC5284" w:rsidRDefault="00BC5284">
            <w:pPr>
              <w:pStyle w:val="TableTitleandnumber"/>
            </w:pPr>
            <w:r w:rsidRPr="00BC5284">
              <w:lastRenderedPageBreak/>
              <w:t>Table 3.3 Stocktake table – Council survey response</w:t>
            </w:r>
          </w:p>
        </w:tc>
      </w:tr>
      <w:tr w:rsidR="00BC5284" w:rsidRPr="00125A6D" w14:paraId="57FE8A10" w14:textId="77777777" w:rsidTr="001F4513">
        <w:trPr>
          <w:trHeight w:val="3308"/>
        </w:trPr>
        <w:tc>
          <w:tcPr>
            <w:tcW w:w="1986" w:type="dxa"/>
            <w:tcBorders>
              <w:top w:val="single" w:sz="6" w:space="0" w:color="000000"/>
              <w:left w:val="single" w:sz="2" w:space="0" w:color="000000"/>
              <w:bottom w:val="single" w:sz="2" w:space="0" w:color="000000"/>
              <w:right w:val="single" w:sz="2" w:space="0" w:color="000000"/>
            </w:tcBorders>
            <w:shd w:val="clear" w:color="313E48" w:fill="auto"/>
            <w:tcMar>
              <w:top w:w="80" w:type="dxa"/>
              <w:left w:w="80" w:type="dxa"/>
              <w:bottom w:w="80" w:type="dxa"/>
              <w:right w:w="80" w:type="dxa"/>
            </w:tcMar>
          </w:tcPr>
          <w:p w14:paraId="26EF4B26" w14:textId="77777777" w:rsidR="00BC5284" w:rsidRPr="00125A6D" w:rsidRDefault="00BC5284">
            <w:pPr>
              <w:pStyle w:val="TableText"/>
            </w:pPr>
            <w:r w:rsidRPr="00125A6D">
              <w:rPr>
                <w:rStyle w:val="TabletextBold"/>
                <w:rFonts w:cs="FreightSans Pro Bold"/>
                <w:bCs/>
              </w:rPr>
              <w:t>Council (Type)</w:t>
            </w:r>
          </w:p>
        </w:tc>
        <w:tc>
          <w:tcPr>
            <w:tcW w:w="1700" w:type="dxa"/>
            <w:tcBorders>
              <w:top w:val="single" w:sz="6" w:space="0" w:color="000000"/>
              <w:left w:val="single" w:sz="2" w:space="0" w:color="000000"/>
              <w:bottom w:val="single" w:sz="2" w:space="0" w:color="000000"/>
              <w:right w:val="single" w:sz="2" w:space="0" w:color="000000"/>
            </w:tcBorders>
            <w:shd w:val="clear" w:color="313E48" w:fill="auto"/>
            <w:tcMar>
              <w:top w:w="80" w:type="dxa"/>
              <w:left w:w="80" w:type="dxa"/>
              <w:bottom w:w="80" w:type="dxa"/>
              <w:right w:w="80" w:type="dxa"/>
            </w:tcMar>
          </w:tcPr>
          <w:p w14:paraId="4522C699" w14:textId="77777777" w:rsidR="00BC5284" w:rsidRPr="00125A6D" w:rsidRDefault="00BC5284">
            <w:pPr>
              <w:pStyle w:val="TableHeading1"/>
            </w:pPr>
            <w:r w:rsidRPr="00125A6D">
              <w:rPr>
                <w:rStyle w:val="TabletextBold"/>
                <w:b/>
                <w:szCs w:val="17"/>
              </w:rPr>
              <w:t>Council Grouping</w:t>
            </w:r>
          </w:p>
        </w:tc>
        <w:tc>
          <w:tcPr>
            <w:tcW w:w="620"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6229B498" w14:textId="77777777" w:rsidR="00BC5284" w:rsidRPr="00125A6D" w:rsidRDefault="00BC5284">
            <w:pPr>
              <w:pStyle w:val="TableText"/>
            </w:pPr>
            <w:r w:rsidRPr="00125A6D">
              <w:rPr>
                <w:rStyle w:val="TabletextBold"/>
                <w:rFonts w:cs="FreightSans Pro Bold"/>
                <w:bCs/>
              </w:rPr>
              <w:t>Has council undertaken a heritage study in the past three years?</w:t>
            </w:r>
          </w:p>
        </w:tc>
        <w:tc>
          <w:tcPr>
            <w:tcW w:w="601"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75022353" w14:textId="77777777" w:rsidR="00BC5284" w:rsidRPr="00125A6D" w:rsidRDefault="00BC5284">
            <w:pPr>
              <w:pStyle w:val="TableText"/>
            </w:pPr>
            <w:r w:rsidRPr="00125A6D">
              <w:rPr>
                <w:rStyle w:val="TabletextBold"/>
                <w:rFonts w:cs="FreightSans Pro Bold"/>
                <w:bCs/>
              </w:rPr>
              <w:t>Does council have place-type gaps in its heritage studies?</w:t>
            </w:r>
          </w:p>
        </w:tc>
        <w:tc>
          <w:tcPr>
            <w:tcW w:w="556"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6E122DDF" w14:textId="77777777" w:rsidR="00BC5284" w:rsidRPr="00125A6D" w:rsidRDefault="00BC5284">
            <w:pPr>
              <w:pStyle w:val="TableText"/>
            </w:pPr>
            <w:r w:rsidRPr="00125A6D">
              <w:rPr>
                <w:rStyle w:val="TabletextBold"/>
                <w:rFonts w:cs="FreightSans Pro Bold"/>
                <w:bCs/>
              </w:rPr>
              <w:t>Does council have geographical gaps in its heritage studies?</w:t>
            </w:r>
          </w:p>
        </w:tc>
        <w:tc>
          <w:tcPr>
            <w:tcW w:w="555"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4A76B4A1" w14:textId="77777777" w:rsidR="00BC5284" w:rsidRPr="00125A6D" w:rsidRDefault="00BC5284">
            <w:pPr>
              <w:pStyle w:val="TableText"/>
            </w:pPr>
            <w:r w:rsidRPr="00125A6D">
              <w:rPr>
                <w:rStyle w:val="TabletextBold"/>
                <w:rFonts w:cs="FreightSans Pro Bold"/>
                <w:bCs/>
              </w:rPr>
              <w:t>Has council translated all its heritage studies into HOs?</w:t>
            </w:r>
          </w:p>
        </w:tc>
        <w:tc>
          <w:tcPr>
            <w:tcW w:w="645"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46FC5EA0" w14:textId="77777777" w:rsidR="00BC5284" w:rsidRPr="00125A6D" w:rsidRDefault="00BC5284">
            <w:pPr>
              <w:pStyle w:val="TableText"/>
            </w:pPr>
            <w:r w:rsidRPr="00125A6D">
              <w:rPr>
                <w:rStyle w:val="TabletextBold"/>
                <w:rFonts w:cs="FreightSans Pro Bold"/>
                <w:bCs/>
              </w:rPr>
              <w:t>Does council have a heritage strategy or plan?</w:t>
            </w:r>
          </w:p>
        </w:tc>
        <w:tc>
          <w:tcPr>
            <w:tcW w:w="567"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5AC70DAB" w14:textId="77777777" w:rsidR="00BC5284" w:rsidRPr="00125A6D" w:rsidRDefault="00BC5284">
            <w:pPr>
              <w:pStyle w:val="TableText"/>
            </w:pPr>
            <w:r w:rsidRPr="00125A6D">
              <w:rPr>
                <w:rStyle w:val="TabletextBold"/>
                <w:rFonts w:cs="FreightSans Pro Bold"/>
                <w:bCs/>
              </w:rPr>
              <w:t>Does council have a consultant Heritage Advisor?</w:t>
            </w:r>
          </w:p>
        </w:tc>
        <w:tc>
          <w:tcPr>
            <w:tcW w:w="478"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21644864" w14:textId="77777777" w:rsidR="00BC5284" w:rsidRPr="00125A6D" w:rsidRDefault="00BC5284">
            <w:pPr>
              <w:pStyle w:val="TableText"/>
            </w:pPr>
            <w:r w:rsidRPr="00125A6D">
              <w:rPr>
                <w:rStyle w:val="TabletextBold"/>
                <w:rFonts w:cs="FreightSans Pro Bold"/>
                <w:bCs/>
              </w:rPr>
              <w:t>Does council have internal heritage staff?</w:t>
            </w:r>
          </w:p>
        </w:tc>
        <w:tc>
          <w:tcPr>
            <w:tcW w:w="555"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1F39F40E" w14:textId="77777777" w:rsidR="00BC5284" w:rsidRPr="00125A6D" w:rsidRDefault="00BC5284">
            <w:pPr>
              <w:pStyle w:val="TableText"/>
            </w:pPr>
            <w:r w:rsidRPr="00125A6D">
              <w:rPr>
                <w:rStyle w:val="TabletextBold"/>
                <w:rFonts w:cs="FreightSans Pro Bold"/>
                <w:bCs/>
              </w:rPr>
              <w:t>Does council have a Heritage Advisory Committee?</w:t>
            </w:r>
          </w:p>
        </w:tc>
        <w:tc>
          <w:tcPr>
            <w:tcW w:w="809"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0D547AC1" w14:textId="77777777" w:rsidR="00BC5284" w:rsidRPr="00125A6D" w:rsidRDefault="00BC5284">
            <w:pPr>
              <w:pStyle w:val="TableText"/>
            </w:pPr>
            <w:r w:rsidRPr="00125A6D">
              <w:rPr>
                <w:rStyle w:val="TabletextBold"/>
                <w:rFonts w:cs="FreightSans Pro Bold"/>
                <w:bCs/>
              </w:rPr>
              <w:t>Does council have measures to support the protection of historic heritage places?</w:t>
            </w:r>
          </w:p>
        </w:tc>
        <w:tc>
          <w:tcPr>
            <w:tcW w:w="851"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7CF60465" w14:textId="77777777" w:rsidR="00BC5284" w:rsidRPr="00125A6D" w:rsidRDefault="00BC5284">
            <w:pPr>
              <w:pStyle w:val="TableText"/>
            </w:pPr>
            <w:r w:rsidRPr="00125A6D">
              <w:rPr>
                <w:rStyle w:val="TabletextBold"/>
                <w:rFonts w:cs="FreightSans Pro Bold"/>
                <w:bCs/>
              </w:rPr>
              <w:t>Does council have mechanisms to communicate knowledge and celebrate historic heritage places?</w:t>
            </w:r>
          </w:p>
        </w:tc>
        <w:tc>
          <w:tcPr>
            <w:tcW w:w="709" w:type="dxa"/>
            <w:tcBorders>
              <w:top w:val="single" w:sz="6" w:space="0" w:color="000000"/>
              <w:left w:val="single" w:sz="2" w:space="0" w:color="000000"/>
              <w:bottom w:val="single" w:sz="2" w:space="0" w:color="000000"/>
              <w:right w:val="single" w:sz="2" w:space="0" w:color="000000"/>
            </w:tcBorders>
            <w:shd w:val="clear" w:color="313E48" w:fill="auto"/>
            <w:tcMar>
              <w:top w:w="57" w:type="dxa"/>
              <w:left w:w="57" w:type="dxa"/>
              <w:bottom w:w="57" w:type="dxa"/>
              <w:right w:w="57" w:type="dxa"/>
            </w:tcMar>
            <w:textDirection w:val="btLr"/>
          </w:tcPr>
          <w:p w14:paraId="05137F12" w14:textId="77777777" w:rsidR="00BC5284" w:rsidRPr="00125A6D" w:rsidRDefault="00BC5284">
            <w:pPr>
              <w:pStyle w:val="TableText"/>
            </w:pPr>
            <w:r w:rsidRPr="00125A6D">
              <w:rPr>
                <w:rStyle w:val="TabletextBold"/>
                <w:rFonts w:cs="FreightSans Pro Bold"/>
                <w:bCs/>
              </w:rPr>
              <w:t>Does council have its local heritage data on HERMES?</w:t>
            </w:r>
          </w:p>
        </w:tc>
      </w:tr>
      <w:tr w:rsidR="00BC5284" w:rsidRPr="00BC5284" w14:paraId="661F861F"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B036E50" w14:textId="77777777" w:rsidR="00BC5284" w:rsidRPr="00BC5284" w:rsidRDefault="00BC5284">
            <w:pPr>
              <w:pStyle w:val="TableTextStocktake"/>
            </w:pPr>
            <w:r w:rsidRPr="00BC5284">
              <w:t>Bayside (C)</w:t>
            </w:r>
          </w:p>
        </w:tc>
        <w:tc>
          <w:tcPr>
            <w:tcW w:w="170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DABDF7C"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5A96B85"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F8E8E21"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AEF666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D382BCD"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EF51BA8"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C32E11B"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6F2CA4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B47279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3C59F5F"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F7FD441"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5FEAC2A" w14:textId="77777777" w:rsidR="00BC5284" w:rsidRPr="00BC5284" w:rsidRDefault="00BC5284">
            <w:pPr>
              <w:pStyle w:val="TableTextStocktake"/>
              <w:jc w:val="center"/>
            </w:pPr>
            <w:r w:rsidRPr="00BC5284">
              <w:t>No</w:t>
            </w:r>
          </w:p>
        </w:tc>
      </w:tr>
      <w:tr w:rsidR="00BC5284" w:rsidRPr="00BC5284" w14:paraId="6C1D9C5A"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693C4F" w14:textId="77777777" w:rsidR="00BC5284" w:rsidRPr="00BC5284" w:rsidRDefault="00BC5284">
            <w:pPr>
              <w:pStyle w:val="TableTextStocktake"/>
            </w:pPr>
            <w:r w:rsidRPr="00BC5284">
              <w:t>Boroondara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3B95DC"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F12017"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690644"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225ED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9CDC3B"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B9AEE1"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76D9B5"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8AEB37"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6E7D9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D3DC53"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B81BEB"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13CFF4" w14:textId="77777777" w:rsidR="00BC5284" w:rsidRPr="00BC5284" w:rsidRDefault="00BC5284">
            <w:pPr>
              <w:pStyle w:val="TableTextStocktake"/>
              <w:jc w:val="center"/>
            </w:pPr>
            <w:r w:rsidRPr="00BC5284">
              <w:t>Yes</w:t>
            </w:r>
          </w:p>
        </w:tc>
      </w:tr>
      <w:tr w:rsidR="00BC5284" w:rsidRPr="00BC5284" w14:paraId="4B2FC047"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042B4C" w14:textId="77777777" w:rsidR="00BC5284" w:rsidRPr="00BC5284" w:rsidRDefault="00BC5284">
            <w:pPr>
              <w:pStyle w:val="TableTextStocktake"/>
            </w:pPr>
            <w:r w:rsidRPr="00BC5284">
              <w:t>Glen Eira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FDCD2B"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B493D4"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982879"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55788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FECE2D"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389873"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3D303F"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70AAC5"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53FECA"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626034"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11760A"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EA64F4" w14:textId="77777777" w:rsidR="00BC5284" w:rsidRPr="00BC5284" w:rsidRDefault="00BC5284">
            <w:pPr>
              <w:pStyle w:val="TableTextStocktake"/>
              <w:jc w:val="center"/>
            </w:pPr>
            <w:r w:rsidRPr="00BC5284">
              <w:t>Yes</w:t>
            </w:r>
          </w:p>
        </w:tc>
      </w:tr>
      <w:tr w:rsidR="00BC5284" w:rsidRPr="00BC5284" w14:paraId="4F0D0220"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F04341" w14:textId="77777777" w:rsidR="00BC5284" w:rsidRPr="00BC5284" w:rsidRDefault="00BC5284">
            <w:pPr>
              <w:pStyle w:val="TableTextStocktake"/>
            </w:pPr>
            <w:r w:rsidRPr="00BC5284">
              <w:t>Melbourne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50D7D2"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7490DF"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E6960C"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173ECD"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D0FC6F"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7136D8"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51D483"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52697A"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A5368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299E46"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A9DD58"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9D1A76" w14:textId="77777777" w:rsidR="00BC5284" w:rsidRPr="00BC5284" w:rsidRDefault="00BC5284">
            <w:pPr>
              <w:pStyle w:val="TableTextStocktake"/>
              <w:jc w:val="center"/>
            </w:pPr>
            <w:r w:rsidRPr="00BC5284">
              <w:t>No</w:t>
            </w:r>
          </w:p>
        </w:tc>
      </w:tr>
      <w:tr w:rsidR="00BC5284" w:rsidRPr="00BC5284" w14:paraId="035173F0"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17569F" w14:textId="77777777" w:rsidR="00BC5284" w:rsidRPr="00BC5284" w:rsidRDefault="00BC5284">
            <w:pPr>
              <w:pStyle w:val="TableTextStocktake"/>
            </w:pPr>
            <w:r w:rsidRPr="00BC5284">
              <w:t>Port Phillip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62F92A"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FD8D35"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1F1900"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0EDA7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DFA2F5"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7B4C93"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35666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A5CCA3"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A87FE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3F8FF7"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82E8C5"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28B917" w14:textId="77777777" w:rsidR="00BC5284" w:rsidRPr="00BC5284" w:rsidRDefault="00BC5284">
            <w:pPr>
              <w:pStyle w:val="TableTextStocktake"/>
              <w:jc w:val="center"/>
            </w:pPr>
            <w:r w:rsidRPr="00BC5284">
              <w:t>Yes</w:t>
            </w:r>
          </w:p>
        </w:tc>
      </w:tr>
      <w:tr w:rsidR="00BC5284" w:rsidRPr="00BC5284" w14:paraId="5DF7FF1C"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D963B9" w14:textId="77777777" w:rsidR="00BC5284" w:rsidRPr="00BC5284" w:rsidRDefault="00BC5284">
            <w:pPr>
              <w:pStyle w:val="TableTextStocktake"/>
            </w:pPr>
            <w:r w:rsidRPr="00BC5284">
              <w:t>Stonnington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D3B07D"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2674B1"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577680"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6A024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E6990B"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89EB79"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1B6ECD"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76936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701A39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EDDB82"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0AC34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F12A7E" w14:textId="77777777" w:rsidR="00BC5284" w:rsidRPr="00BC5284" w:rsidRDefault="00BC5284">
            <w:pPr>
              <w:pStyle w:val="TableTextStocktake"/>
              <w:jc w:val="center"/>
            </w:pPr>
            <w:r w:rsidRPr="00BC5284">
              <w:t>Yes</w:t>
            </w:r>
          </w:p>
        </w:tc>
      </w:tr>
      <w:tr w:rsidR="00BC5284" w:rsidRPr="00BC5284" w14:paraId="32ADBD45"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E02BF20" w14:textId="77777777" w:rsidR="00BC5284" w:rsidRPr="00BC5284" w:rsidRDefault="00BC5284">
            <w:pPr>
              <w:pStyle w:val="TableTextStocktake"/>
            </w:pPr>
            <w:r w:rsidRPr="00BC5284">
              <w:t>Yarra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A6ADBF6" w14:textId="77777777" w:rsidR="00BC5284" w:rsidRPr="00BC5284" w:rsidRDefault="00BC5284">
            <w:pPr>
              <w:pStyle w:val="TableTextStocktake"/>
            </w:pPr>
            <w:r w:rsidRPr="00BC5284">
              <w:t>Metro Inner</w:t>
            </w:r>
          </w:p>
        </w:tc>
        <w:tc>
          <w:tcPr>
            <w:tcW w:w="62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0851BBA"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D855A41"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FE4457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34A5FAA"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744F0BF"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AD4B01E"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C755BD8"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D514B5B"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2C4AC64"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E1632FF"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4AF4317" w14:textId="77777777" w:rsidR="00BC5284" w:rsidRPr="00BC5284" w:rsidRDefault="00BC5284">
            <w:pPr>
              <w:pStyle w:val="TableTextStocktake"/>
              <w:jc w:val="center"/>
            </w:pPr>
            <w:r w:rsidRPr="00BC5284">
              <w:t>Yes</w:t>
            </w:r>
          </w:p>
        </w:tc>
      </w:tr>
      <w:tr w:rsidR="00BC5284" w:rsidRPr="00BC5284" w14:paraId="4553331C"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E42D9D4" w14:textId="77777777" w:rsidR="00BC5284" w:rsidRPr="00BC5284" w:rsidRDefault="00BC5284">
            <w:pPr>
              <w:pStyle w:val="TableTextStocktake"/>
            </w:pPr>
            <w:r w:rsidRPr="00BC5284">
              <w:t>Banyule (C)</w:t>
            </w:r>
          </w:p>
        </w:tc>
        <w:tc>
          <w:tcPr>
            <w:tcW w:w="170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5AB8B14" w14:textId="77777777" w:rsidR="00BC5284" w:rsidRPr="00BC5284" w:rsidRDefault="00BC5284">
            <w:pPr>
              <w:pStyle w:val="TableTextStocktake"/>
            </w:pPr>
            <w:r w:rsidRPr="00BC5284">
              <w:t>Metro Middle</w:t>
            </w:r>
          </w:p>
        </w:tc>
        <w:tc>
          <w:tcPr>
            <w:tcW w:w="620"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1038224" w14:textId="77777777" w:rsidR="00BC5284" w:rsidRPr="00BC5284" w:rsidRDefault="00BC5284">
            <w:pPr>
              <w:pStyle w:val="TableTextStocktake"/>
              <w:jc w:val="center"/>
            </w:pPr>
            <w:r w:rsidRPr="00BC5284">
              <w:t>No</w:t>
            </w:r>
          </w:p>
        </w:tc>
        <w:tc>
          <w:tcPr>
            <w:tcW w:w="60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EA46CEF" w14:textId="77777777" w:rsidR="00BC5284" w:rsidRPr="00BC5284" w:rsidRDefault="00BC5284">
            <w:pPr>
              <w:pStyle w:val="TableTextStocktake"/>
              <w:jc w:val="center"/>
            </w:pPr>
            <w:r w:rsidRPr="00BC5284">
              <w:t>Yes</w:t>
            </w:r>
          </w:p>
        </w:tc>
        <w:tc>
          <w:tcPr>
            <w:tcW w:w="556"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4F3B5BC"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48FCDE2" w14:textId="77777777" w:rsidR="00BC5284" w:rsidRPr="00BC5284" w:rsidRDefault="00BC5284">
            <w:pPr>
              <w:pStyle w:val="TableTextStocktake"/>
              <w:jc w:val="center"/>
            </w:pPr>
            <w:r w:rsidRPr="00BC5284">
              <w:t>No</w:t>
            </w:r>
          </w:p>
        </w:tc>
        <w:tc>
          <w:tcPr>
            <w:tcW w:w="64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BDA0FBF" w14:textId="77777777" w:rsidR="00BC5284" w:rsidRPr="00BC5284" w:rsidRDefault="00BC5284">
            <w:pPr>
              <w:pStyle w:val="TableTextStocktake"/>
              <w:jc w:val="center"/>
            </w:pPr>
            <w:r w:rsidRPr="00BC5284">
              <w:t>Yes</w:t>
            </w:r>
          </w:p>
        </w:tc>
        <w:tc>
          <w:tcPr>
            <w:tcW w:w="5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79AF884" w14:textId="77777777" w:rsidR="00BC5284" w:rsidRPr="00BC5284" w:rsidRDefault="00BC5284">
            <w:pPr>
              <w:pStyle w:val="TableTextStocktake"/>
              <w:jc w:val="center"/>
            </w:pPr>
            <w:r w:rsidRPr="00BC5284">
              <w:t>Yes</w:t>
            </w:r>
          </w:p>
        </w:tc>
        <w:tc>
          <w:tcPr>
            <w:tcW w:w="47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F3CA988"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540AE7B" w14:textId="77777777" w:rsidR="00BC5284" w:rsidRPr="00BC5284" w:rsidRDefault="00BC5284">
            <w:pPr>
              <w:pStyle w:val="TableTextStocktake"/>
              <w:jc w:val="center"/>
            </w:pPr>
            <w:r w:rsidRPr="00BC5284">
              <w:t>No</w:t>
            </w:r>
          </w:p>
        </w:tc>
        <w:tc>
          <w:tcPr>
            <w:tcW w:w="8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D7289FC" w14:textId="77777777" w:rsidR="00BC5284" w:rsidRPr="00BC5284" w:rsidRDefault="00BC5284">
            <w:pPr>
              <w:pStyle w:val="TableTextStocktake"/>
              <w:jc w:val="center"/>
            </w:pPr>
            <w:r w:rsidRPr="00BC5284">
              <w:t>No</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E247891" w14:textId="77777777" w:rsidR="00BC5284" w:rsidRPr="00BC5284" w:rsidRDefault="00BC5284">
            <w:pPr>
              <w:pStyle w:val="TableTextStocktake"/>
              <w:jc w:val="center"/>
            </w:pPr>
            <w:r w:rsidRPr="00BC5284">
              <w:t>Yes</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8321B6E" w14:textId="77777777" w:rsidR="00BC5284" w:rsidRPr="00BC5284" w:rsidRDefault="00BC5284">
            <w:pPr>
              <w:pStyle w:val="TableTextStocktake"/>
              <w:jc w:val="center"/>
            </w:pPr>
            <w:r w:rsidRPr="00BC5284">
              <w:t>Yes</w:t>
            </w:r>
          </w:p>
        </w:tc>
      </w:tr>
      <w:tr w:rsidR="00BC5284" w:rsidRPr="00BC5284" w14:paraId="1FFF270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DCA572" w14:textId="77777777" w:rsidR="00BC5284" w:rsidRPr="00BC5284" w:rsidRDefault="00BC5284">
            <w:pPr>
              <w:pStyle w:val="TableTextStocktake"/>
            </w:pPr>
            <w:r w:rsidRPr="00BC5284">
              <w:t>Brimbank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C3CBF2"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73F256"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24848A"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FD7DE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D48DC4"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4F7988"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F654BB"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1D93B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B921E8"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56AB4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F6A9FF"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E4939A" w14:textId="77777777" w:rsidR="00BC5284" w:rsidRPr="00BC5284" w:rsidRDefault="00BC5284">
            <w:pPr>
              <w:pStyle w:val="TableTextStocktake"/>
              <w:jc w:val="center"/>
            </w:pPr>
            <w:r w:rsidRPr="00BC5284">
              <w:t>Yes</w:t>
            </w:r>
          </w:p>
        </w:tc>
      </w:tr>
      <w:tr w:rsidR="00BC5284" w:rsidRPr="00BC5284" w14:paraId="2729B5B6"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8823B6" w14:textId="77777777" w:rsidR="00BC5284" w:rsidRPr="00BC5284" w:rsidRDefault="00BC5284">
            <w:pPr>
              <w:pStyle w:val="TableTextStocktake"/>
            </w:pPr>
            <w:r w:rsidRPr="00BC5284">
              <w:t>Darebin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CEC87E"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EE7FA2"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A35F69"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903F1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D26B65"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6EC115"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F20FBB"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524F41"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B72DAE"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604779"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A2CFF1"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100200" w14:textId="77777777" w:rsidR="00BC5284" w:rsidRPr="00BC5284" w:rsidRDefault="00BC5284">
            <w:pPr>
              <w:pStyle w:val="TableTextStocktake"/>
              <w:jc w:val="center"/>
            </w:pPr>
            <w:r w:rsidRPr="00BC5284">
              <w:t>Yes</w:t>
            </w:r>
          </w:p>
        </w:tc>
      </w:tr>
      <w:tr w:rsidR="00BC5284" w:rsidRPr="00BC5284" w14:paraId="0D41C9AB"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2CC1CA" w14:textId="77777777" w:rsidR="00BC5284" w:rsidRPr="00BC5284" w:rsidRDefault="00BC5284">
            <w:pPr>
              <w:pStyle w:val="TableTextStocktake"/>
            </w:pPr>
            <w:r w:rsidRPr="00BC5284">
              <w:t>Frankston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131E79"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84FBB9"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B9B41D"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3F7017"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BBD4A1"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D9201E"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B21402"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B68D4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55F29E"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4988D7"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137A19"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3FCA54" w14:textId="77777777" w:rsidR="00BC5284" w:rsidRPr="00BC5284" w:rsidRDefault="00BC5284">
            <w:pPr>
              <w:pStyle w:val="TableTextStocktake"/>
              <w:jc w:val="center"/>
            </w:pPr>
            <w:r w:rsidRPr="00BC5284">
              <w:t>Yes</w:t>
            </w:r>
          </w:p>
        </w:tc>
      </w:tr>
      <w:tr w:rsidR="00BC5284" w:rsidRPr="00BC5284" w14:paraId="72765C5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E24DBC" w14:textId="77777777" w:rsidR="00BC5284" w:rsidRPr="00BC5284" w:rsidRDefault="00BC5284">
            <w:pPr>
              <w:pStyle w:val="TableTextStocktake"/>
            </w:pPr>
            <w:r w:rsidRPr="00BC5284">
              <w:t>Greater Dandenong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CCEA02"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3A17DC"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B2112F"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4A361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0A715D"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ABE887"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048B0A"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56CC30"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E400D6"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0102D0"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D59CB7"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E9BFF9" w14:textId="77777777" w:rsidR="00BC5284" w:rsidRPr="00BC5284" w:rsidRDefault="00BC5284">
            <w:pPr>
              <w:pStyle w:val="TableTextStocktake"/>
              <w:jc w:val="center"/>
            </w:pPr>
            <w:r w:rsidRPr="00BC5284">
              <w:t>No</w:t>
            </w:r>
          </w:p>
        </w:tc>
      </w:tr>
      <w:tr w:rsidR="00BC5284" w:rsidRPr="00BC5284" w14:paraId="1F8992A3"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C262BB" w14:textId="77777777" w:rsidR="00BC5284" w:rsidRPr="00BC5284" w:rsidRDefault="00BC5284">
            <w:pPr>
              <w:pStyle w:val="TableTextStocktake"/>
            </w:pPr>
            <w:r w:rsidRPr="00BC5284">
              <w:t>Hobsons Bay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527F04"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DFA98C"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784BAF"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FC3AA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63472D"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AE64C2"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5C5765"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918D57"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E81FAB"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13AD87"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F4D5AE"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B6528B" w14:textId="77777777" w:rsidR="00BC5284" w:rsidRPr="00BC5284" w:rsidRDefault="00BC5284">
            <w:pPr>
              <w:pStyle w:val="TableTextStocktake"/>
              <w:jc w:val="center"/>
            </w:pPr>
            <w:r w:rsidRPr="00BC5284">
              <w:t>Yes</w:t>
            </w:r>
          </w:p>
        </w:tc>
      </w:tr>
      <w:tr w:rsidR="00BC5284" w:rsidRPr="00BC5284" w14:paraId="2F88F4B3"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CB3F84" w14:textId="77777777" w:rsidR="00BC5284" w:rsidRPr="00BC5284" w:rsidRDefault="00BC5284">
            <w:pPr>
              <w:pStyle w:val="TableTextStocktake"/>
            </w:pPr>
            <w:r w:rsidRPr="00BC5284">
              <w:t>Kingston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50B605"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63BC74"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41716E"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A940C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271EDC"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D7AE78"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4D158C"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40818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B65143"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587824"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05E035"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773715" w14:textId="77777777" w:rsidR="00BC5284" w:rsidRPr="00BC5284" w:rsidRDefault="00BC5284">
            <w:pPr>
              <w:pStyle w:val="TableTextStocktake"/>
              <w:jc w:val="center"/>
            </w:pPr>
            <w:r w:rsidRPr="00BC5284">
              <w:t>No</w:t>
            </w:r>
          </w:p>
        </w:tc>
      </w:tr>
      <w:tr w:rsidR="00BC5284" w:rsidRPr="00BC5284" w14:paraId="62E5695E"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20493A" w14:textId="77777777" w:rsidR="00BC5284" w:rsidRPr="00BC5284" w:rsidRDefault="00BC5284">
            <w:pPr>
              <w:pStyle w:val="TableTextStocktake"/>
            </w:pPr>
            <w:r w:rsidRPr="00BC5284">
              <w:t>Knox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A5F383"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7BC054"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8E4B41"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E9D64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CF3212"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C0BE2B"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4C6B76"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C360A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602896"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01B945"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2D3714"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A6B7C9" w14:textId="77777777" w:rsidR="00BC5284" w:rsidRPr="00BC5284" w:rsidRDefault="00BC5284">
            <w:pPr>
              <w:pStyle w:val="TableTextStocktake"/>
              <w:jc w:val="center"/>
            </w:pPr>
            <w:r w:rsidRPr="00BC5284">
              <w:t>No</w:t>
            </w:r>
          </w:p>
        </w:tc>
      </w:tr>
      <w:tr w:rsidR="00BC5284" w:rsidRPr="00BC5284" w14:paraId="678FA247"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0822B4" w14:textId="77777777" w:rsidR="00BC5284" w:rsidRPr="00BC5284" w:rsidRDefault="00BC5284">
            <w:pPr>
              <w:pStyle w:val="TableTextStocktake"/>
            </w:pPr>
            <w:r w:rsidRPr="00BC5284">
              <w:t>Manningham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2807EA"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C48283"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CFA1A7"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7930C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51031A"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F1014B"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CB7608"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7BFE4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D7B14E"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B9D54D"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38CE4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4D6104" w14:textId="77777777" w:rsidR="00BC5284" w:rsidRPr="00BC5284" w:rsidRDefault="00BC5284">
            <w:pPr>
              <w:pStyle w:val="TableTextStocktake"/>
              <w:jc w:val="center"/>
            </w:pPr>
            <w:r w:rsidRPr="00BC5284">
              <w:t>Yes</w:t>
            </w:r>
          </w:p>
        </w:tc>
      </w:tr>
      <w:tr w:rsidR="00BC5284" w:rsidRPr="00BC5284" w14:paraId="273E6C09"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51771B" w14:textId="77777777" w:rsidR="00BC5284" w:rsidRPr="00BC5284" w:rsidRDefault="00BC5284">
            <w:pPr>
              <w:pStyle w:val="TableTextStocktake"/>
            </w:pPr>
            <w:r w:rsidRPr="00BC5284">
              <w:t>Maribyrnong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C52FD35"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C8AF27"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F416ED"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205EE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E6D2AF"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2D77F1"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5F0F79"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E17444"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363057"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E95910"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0AA464"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51412E" w14:textId="77777777" w:rsidR="00BC5284" w:rsidRPr="00BC5284" w:rsidRDefault="00BC5284">
            <w:pPr>
              <w:pStyle w:val="TableTextStocktake"/>
              <w:jc w:val="center"/>
            </w:pPr>
            <w:r w:rsidRPr="00BC5284">
              <w:t>Yes</w:t>
            </w:r>
          </w:p>
        </w:tc>
      </w:tr>
      <w:tr w:rsidR="00BC5284" w:rsidRPr="00BC5284" w14:paraId="66A029E2"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C36585" w14:textId="77777777" w:rsidR="00BC5284" w:rsidRPr="00BC5284" w:rsidRDefault="00BC5284">
            <w:pPr>
              <w:pStyle w:val="TableTextStocktake"/>
            </w:pPr>
            <w:r w:rsidRPr="00BC5284">
              <w:t>Maroondah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1A6767"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FD83DB"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B82D31"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AAB054"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3B6633"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CC8AA4"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EFA6CB"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DEA532"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7434C5"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195FF4"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82ED2F"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D1D9E0" w14:textId="77777777" w:rsidR="00BC5284" w:rsidRPr="00BC5284" w:rsidRDefault="00BC5284">
            <w:pPr>
              <w:pStyle w:val="TableTextStocktake"/>
              <w:jc w:val="center"/>
            </w:pPr>
            <w:r w:rsidRPr="00BC5284">
              <w:t>Yes</w:t>
            </w:r>
          </w:p>
        </w:tc>
      </w:tr>
      <w:tr w:rsidR="00BC5284" w:rsidRPr="00BC5284" w14:paraId="0FECE43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73B631" w14:textId="77777777" w:rsidR="00BC5284" w:rsidRPr="00BC5284" w:rsidRDefault="00BC5284">
            <w:pPr>
              <w:pStyle w:val="TableTextStocktake"/>
            </w:pPr>
            <w:r w:rsidRPr="00BC5284">
              <w:t>Monash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214FA4"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F91840"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2428A3"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37E9C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114F96"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271FD5"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FD0F43"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3F51D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343A9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B797C1"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45A11A"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42420E" w14:textId="77777777" w:rsidR="00BC5284" w:rsidRPr="00BC5284" w:rsidRDefault="00BC5284">
            <w:pPr>
              <w:pStyle w:val="TableTextStocktake"/>
              <w:jc w:val="center"/>
            </w:pPr>
            <w:r w:rsidRPr="00BC5284">
              <w:t>No</w:t>
            </w:r>
          </w:p>
        </w:tc>
      </w:tr>
      <w:tr w:rsidR="00BC5284" w:rsidRPr="00BC5284" w14:paraId="2506B6B3"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FCA0C6" w14:textId="77777777" w:rsidR="00BC5284" w:rsidRPr="00BC5284" w:rsidRDefault="00BC5284">
            <w:pPr>
              <w:pStyle w:val="TableTextStocktake"/>
            </w:pPr>
            <w:r w:rsidRPr="00BC5284">
              <w:t>Moonee Valley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B090A4"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A9ACB6"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538062"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71074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30A979"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E264C5"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40A86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88E17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3E639B"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7FEED4"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F9F35D"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FA010A" w14:textId="77777777" w:rsidR="00BC5284" w:rsidRPr="00BC5284" w:rsidRDefault="00BC5284">
            <w:pPr>
              <w:pStyle w:val="TableTextStocktake"/>
              <w:jc w:val="center"/>
            </w:pPr>
            <w:r w:rsidRPr="00BC5284">
              <w:t>Yes</w:t>
            </w:r>
          </w:p>
        </w:tc>
      </w:tr>
      <w:tr w:rsidR="00BC5284" w:rsidRPr="00BC5284" w14:paraId="57457E0F"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9BB13F" w14:textId="77777777" w:rsidR="00BC5284" w:rsidRPr="00BC5284" w:rsidRDefault="00BC5284">
            <w:pPr>
              <w:pStyle w:val="TableTextStocktake"/>
            </w:pPr>
            <w:r w:rsidRPr="00BC5284">
              <w:t>Moreland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EB648D"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97D4492"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BC7C98"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0487B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D86A86"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7B8319"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614FEA"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43AB5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10C83A"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DE2592"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543D56"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C1EA48" w14:textId="77777777" w:rsidR="00BC5284" w:rsidRPr="00BC5284" w:rsidRDefault="00BC5284">
            <w:pPr>
              <w:pStyle w:val="TableTextStocktake"/>
              <w:jc w:val="center"/>
            </w:pPr>
            <w:r w:rsidRPr="00BC5284">
              <w:t>Yes</w:t>
            </w:r>
          </w:p>
        </w:tc>
      </w:tr>
      <w:tr w:rsidR="00BC5284" w:rsidRPr="00BC5284" w14:paraId="755EF6AF"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001DE3E" w14:textId="77777777" w:rsidR="00BC5284" w:rsidRPr="00BC5284" w:rsidRDefault="00BC5284">
            <w:pPr>
              <w:pStyle w:val="TableTextStocktake"/>
            </w:pPr>
            <w:r w:rsidRPr="00BC5284">
              <w:t>Whitehorse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2B7AD5F" w14:textId="77777777" w:rsidR="00BC5284" w:rsidRPr="00BC5284" w:rsidRDefault="00BC5284">
            <w:pPr>
              <w:pStyle w:val="TableTextStocktake"/>
            </w:pPr>
            <w:r w:rsidRPr="00BC5284">
              <w:t>Metro Middle</w:t>
            </w:r>
          </w:p>
        </w:tc>
        <w:tc>
          <w:tcPr>
            <w:tcW w:w="62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B82B581"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07A0536"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426AFF3"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B38D41E"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E2E70BE"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6A80DF3"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82C16D1"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E742D37"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9F74FED"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FC212BC"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35595C2" w14:textId="77777777" w:rsidR="00BC5284" w:rsidRPr="00BC5284" w:rsidRDefault="00BC5284">
            <w:pPr>
              <w:pStyle w:val="TableTextStocktake"/>
              <w:jc w:val="center"/>
            </w:pPr>
            <w:r w:rsidRPr="00BC5284">
              <w:t>No</w:t>
            </w:r>
          </w:p>
        </w:tc>
      </w:tr>
      <w:tr w:rsidR="00BC5284" w:rsidRPr="00BC5284" w14:paraId="76F9C11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72A9527" w14:textId="77777777" w:rsidR="00BC5284" w:rsidRPr="00BC5284" w:rsidRDefault="00BC5284">
            <w:pPr>
              <w:pStyle w:val="TableTextStocktake"/>
            </w:pPr>
            <w:r w:rsidRPr="00BC5284">
              <w:lastRenderedPageBreak/>
              <w:t>Cardinia (S)</w:t>
            </w:r>
          </w:p>
        </w:tc>
        <w:tc>
          <w:tcPr>
            <w:tcW w:w="170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7A8E37E" w14:textId="77777777" w:rsidR="00BC5284" w:rsidRPr="00BC5284" w:rsidRDefault="00BC5284">
            <w:pPr>
              <w:pStyle w:val="TableTextStocktake"/>
            </w:pPr>
            <w:r w:rsidRPr="00BC5284">
              <w:t>Metro Outer</w:t>
            </w:r>
          </w:p>
        </w:tc>
        <w:tc>
          <w:tcPr>
            <w:tcW w:w="620"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52C28F2" w14:textId="77777777" w:rsidR="00BC5284" w:rsidRPr="00BC5284" w:rsidRDefault="00BC5284">
            <w:pPr>
              <w:pStyle w:val="TableTextStocktake"/>
              <w:jc w:val="center"/>
            </w:pPr>
            <w:r w:rsidRPr="00BC5284">
              <w:t>Yes</w:t>
            </w:r>
          </w:p>
        </w:tc>
        <w:tc>
          <w:tcPr>
            <w:tcW w:w="60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A2BB364" w14:textId="77777777" w:rsidR="00BC5284" w:rsidRPr="00BC5284" w:rsidRDefault="00BC5284">
            <w:pPr>
              <w:pStyle w:val="TableTextStocktake"/>
              <w:jc w:val="center"/>
            </w:pPr>
            <w:r w:rsidRPr="00BC5284">
              <w:t>No</w:t>
            </w:r>
          </w:p>
        </w:tc>
        <w:tc>
          <w:tcPr>
            <w:tcW w:w="556"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98DD740"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1877683" w14:textId="77777777" w:rsidR="00BC5284" w:rsidRPr="00BC5284" w:rsidRDefault="00BC5284">
            <w:pPr>
              <w:pStyle w:val="TableTextStocktake"/>
              <w:jc w:val="center"/>
            </w:pPr>
            <w:r w:rsidRPr="00BC5284">
              <w:t>Yes</w:t>
            </w:r>
          </w:p>
        </w:tc>
        <w:tc>
          <w:tcPr>
            <w:tcW w:w="64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4DA4545" w14:textId="77777777" w:rsidR="00BC5284" w:rsidRPr="00BC5284" w:rsidRDefault="00BC5284">
            <w:pPr>
              <w:pStyle w:val="TableTextStocktake"/>
              <w:jc w:val="center"/>
            </w:pPr>
            <w:r w:rsidRPr="00BC5284">
              <w:t>No</w:t>
            </w:r>
          </w:p>
        </w:tc>
        <w:tc>
          <w:tcPr>
            <w:tcW w:w="5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4A0656C" w14:textId="77777777" w:rsidR="00BC5284" w:rsidRPr="00BC5284" w:rsidRDefault="00BC5284">
            <w:pPr>
              <w:pStyle w:val="TableTextStocktake"/>
              <w:jc w:val="center"/>
            </w:pPr>
            <w:r w:rsidRPr="00BC5284">
              <w:t>Yes</w:t>
            </w:r>
          </w:p>
        </w:tc>
        <w:tc>
          <w:tcPr>
            <w:tcW w:w="47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85FB5A7" w14:textId="77777777" w:rsidR="00BC5284" w:rsidRPr="00BC5284" w:rsidRDefault="00BC5284">
            <w:pPr>
              <w:pStyle w:val="TableTextStocktake"/>
              <w:jc w:val="center"/>
            </w:pPr>
            <w:r w:rsidRPr="00BC5284">
              <w:t>Yes</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AC8A434" w14:textId="77777777" w:rsidR="00BC5284" w:rsidRPr="00BC5284" w:rsidRDefault="00BC5284">
            <w:pPr>
              <w:pStyle w:val="TableTextStocktake"/>
              <w:jc w:val="center"/>
            </w:pPr>
            <w:r w:rsidRPr="00BC5284">
              <w:t>No</w:t>
            </w:r>
          </w:p>
        </w:tc>
        <w:tc>
          <w:tcPr>
            <w:tcW w:w="8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E50453F" w14:textId="77777777" w:rsidR="00BC5284" w:rsidRPr="00BC5284" w:rsidRDefault="00BC5284">
            <w:pPr>
              <w:pStyle w:val="TableTextStocktake"/>
              <w:jc w:val="center"/>
            </w:pPr>
            <w:r w:rsidRPr="00BC5284">
              <w:t>Yes</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87D3A02" w14:textId="77777777" w:rsidR="00BC5284" w:rsidRPr="00BC5284" w:rsidRDefault="00BC5284">
            <w:pPr>
              <w:pStyle w:val="TableTextStocktake"/>
              <w:jc w:val="center"/>
            </w:pPr>
            <w:r w:rsidRPr="00BC5284">
              <w:t>Yes</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7273A71" w14:textId="77777777" w:rsidR="00BC5284" w:rsidRPr="00BC5284" w:rsidRDefault="00BC5284">
            <w:pPr>
              <w:pStyle w:val="TableTextStocktake"/>
              <w:jc w:val="center"/>
            </w:pPr>
            <w:r w:rsidRPr="00BC5284">
              <w:t>Yes</w:t>
            </w:r>
          </w:p>
        </w:tc>
      </w:tr>
      <w:tr w:rsidR="00BC5284" w:rsidRPr="00BC5284" w14:paraId="342BA49F"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725AFC" w14:textId="77777777" w:rsidR="00BC5284" w:rsidRPr="00BC5284" w:rsidRDefault="00BC5284">
            <w:pPr>
              <w:pStyle w:val="TableTextStocktake"/>
            </w:pPr>
            <w:r w:rsidRPr="00BC5284">
              <w:t>Casey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1973A7"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769C0C"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4D2BAF"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91C2A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E6221D"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B7A65F"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7683AD"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A62C4F"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FEAFD6"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AC8195"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F3E6A1"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E37C7D" w14:textId="77777777" w:rsidR="00BC5284" w:rsidRPr="00BC5284" w:rsidRDefault="00BC5284">
            <w:pPr>
              <w:pStyle w:val="TableTextStocktake"/>
              <w:jc w:val="center"/>
            </w:pPr>
            <w:r w:rsidRPr="00BC5284">
              <w:t>Yes</w:t>
            </w:r>
          </w:p>
        </w:tc>
      </w:tr>
      <w:tr w:rsidR="00BC5284" w:rsidRPr="00BC5284" w14:paraId="56CEEA24"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57401B" w14:textId="77777777" w:rsidR="00BC5284" w:rsidRPr="00BC5284" w:rsidRDefault="00BC5284">
            <w:pPr>
              <w:pStyle w:val="TableTextStocktake"/>
            </w:pPr>
            <w:r w:rsidRPr="00BC5284">
              <w:t>Hume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430533"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2B7AF9"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198FA1"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A7DFF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48D836"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9B474B"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0ABA26"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941C9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19D66C"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43D9F5"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0D54FB"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821E3D" w14:textId="77777777" w:rsidR="00BC5284" w:rsidRPr="00BC5284" w:rsidRDefault="00BC5284">
            <w:pPr>
              <w:pStyle w:val="TableTextStocktake"/>
              <w:jc w:val="center"/>
            </w:pPr>
            <w:r w:rsidRPr="00BC5284">
              <w:t>No</w:t>
            </w:r>
          </w:p>
        </w:tc>
      </w:tr>
      <w:tr w:rsidR="00BC5284" w:rsidRPr="00BC5284" w14:paraId="2D50A417"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F95B24" w14:textId="77777777" w:rsidR="00BC5284" w:rsidRPr="00BC5284" w:rsidRDefault="00BC5284">
            <w:pPr>
              <w:pStyle w:val="TableTextStocktake"/>
            </w:pPr>
            <w:r w:rsidRPr="00BC5284">
              <w:t>Melton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2A5BC8"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0FCA1F"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C9BF28"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B74EB3"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531BD1"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5F0541"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5970C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480D7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391DE3"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3C8C3E"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DD0D4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522B37" w14:textId="77777777" w:rsidR="00BC5284" w:rsidRPr="00BC5284" w:rsidRDefault="00BC5284">
            <w:pPr>
              <w:pStyle w:val="TableTextStocktake"/>
              <w:jc w:val="center"/>
            </w:pPr>
            <w:r w:rsidRPr="00BC5284">
              <w:t>Yes</w:t>
            </w:r>
          </w:p>
        </w:tc>
      </w:tr>
      <w:tr w:rsidR="00BC5284" w:rsidRPr="00BC5284" w14:paraId="1FC088F5"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B3C84C" w14:textId="77777777" w:rsidR="00BC5284" w:rsidRPr="00BC5284" w:rsidRDefault="00BC5284">
            <w:pPr>
              <w:pStyle w:val="TableTextStocktake"/>
            </w:pPr>
            <w:r w:rsidRPr="00BC5284">
              <w:t>Mornington Peninsula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17B917"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248B03"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F5BBE6"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3616CE"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15DC23"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AB1BEF"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5B64E9"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3B0440"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1F01A2"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8EA3C2"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2CFF59"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4CEA2D" w14:textId="77777777" w:rsidR="00BC5284" w:rsidRPr="00BC5284" w:rsidRDefault="00BC5284">
            <w:pPr>
              <w:pStyle w:val="TableTextStocktake"/>
              <w:jc w:val="center"/>
            </w:pPr>
            <w:r w:rsidRPr="00BC5284">
              <w:t>No</w:t>
            </w:r>
          </w:p>
        </w:tc>
      </w:tr>
      <w:tr w:rsidR="00BC5284" w:rsidRPr="00BC5284" w14:paraId="5CA4A79B"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52D2DB" w14:textId="77777777" w:rsidR="00BC5284" w:rsidRPr="00BC5284" w:rsidRDefault="00BC5284">
            <w:pPr>
              <w:pStyle w:val="TableTextStocktake"/>
            </w:pPr>
            <w:r w:rsidRPr="00BC5284">
              <w:t>Nillumbik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6FE9B5"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65AFE7"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1A0103"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A5D6F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347369"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3C4708"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7DC71C"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4C68C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5C211C"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6F1D51"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C486B7"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70EF99" w14:textId="77777777" w:rsidR="00BC5284" w:rsidRPr="00BC5284" w:rsidRDefault="00BC5284">
            <w:pPr>
              <w:pStyle w:val="TableTextStocktake"/>
              <w:jc w:val="center"/>
            </w:pPr>
            <w:r w:rsidRPr="00BC5284">
              <w:t>No</w:t>
            </w:r>
          </w:p>
        </w:tc>
      </w:tr>
      <w:tr w:rsidR="00BC5284" w:rsidRPr="00BC5284" w14:paraId="22D7FB1E"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BEDC25" w14:textId="77777777" w:rsidR="00BC5284" w:rsidRPr="00BC5284" w:rsidRDefault="00BC5284">
            <w:pPr>
              <w:pStyle w:val="TableTextStocktake"/>
            </w:pPr>
            <w:r w:rsidRPr="00BC5284">
              <w:t>Whittlesea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10546E"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83C365"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EBE5D0"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DC3A8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BDF7FA"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DF0EBB"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44FEC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EE6F15"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285636"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8050C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A893A1"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344215" w14:textId="77777777" w:rsidR="00BC5284" w:rsidRPr="00BC5284" w:rsidRDefault="00BC5284">
            <w:pPr>
              <w:pStyle w:val="TableTextStocktake"/>
              <w:jc w:val="center"/>
            </w:pPr>
            <w:r w:rsidRPr="00BC5284">
              <w:t>No</w:t>
            </w:r>
          </w:p>
        </w:tc>
      </w:tr>
      <w:tr w:rsidR="00BC5284" w:rsidRPr="00BC5284" w14:paraId="0273023A"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C97F6B" w14:textId="77777777" w:rsidR="00BC5284" w:rsidRPr="00BC5284" w:rsidRDefault="00BC5284">
            <w:pPr>
              <w:pStyle w:val="TableTextStocktake"/>
            </w:pPr>
            <w:r w:rsidRPr="00BC5284">
              <w:t>Wyndham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2A1DB1"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5C1BF68"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D8C3C9"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DBC90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BC685C"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FC88A2"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12885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04609E"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FB7B7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BC7DF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3A3331"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CAC84D" w14:textId="77777777" w:rsidR="00BC5284" w:rsidRPr="00BC5284" w:rsidRDefault="00BC5284">
            <w:pPr>
              <w:pStyle w:val="TableTextStocktake"/>
              <w:jc w:val="center"/>
            </w:pPr>
            <w:r w:rsidRPr="00BC5284">
              <w:t>No</w:t>
            </w:r>
          </w:p>
        </w:tc>
      </w:tr>
      <w:tr w:rsidR="00BC5284" w:rsidRPr="00BC5284" w14:paraId="52E11869"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11290CCB" w14:textId="77777777" w:rsidR="00BC5284" w:rsidRPr="00BC5284" w:rsidRDefault="00BC5284">
            <w:pPr>
              <w:pStyle w:val="TableTextStocktake"/>
            </w:pPr>
            <w:r w:rsidRPr="00BC5284">
              <w:t>Yarra Ranges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EDC712E" w14:textId="77777777" w:rsidR="00BC5284" w:rsidRPr="00BC5284" w:rsidRDefault="00BC5284">
            <w:pPr>
              <w:pStyle w:val="TableTextStocktake"/>
            </w:pPr>
            <w:r w:rsidRPr="00BC5284">
              <w:t>Metro Outer</w:t>
            </w:r>
          </w:p>
        </w:tc>
        <w:tc>
          <w:tcPr>
            <w:tcW w:w="62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9EEF3B7"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F086CA6"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13D0CDA"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E22B414"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463358A"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D09BF0B"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9F2EB43"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7385ED4"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89ABDAA"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36AE3A5"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6AC1652" w14:textId="77777777" w:rsidR="00BC5284" w:rsidRPr="00BC5284" w:rsidRDefault="00BC5284">
            <w:pPr>
              <w:pStyle w:val="TableTextStocktake"/>
              <w:jc w:val="center"/>
            </w:pPr>
            <w:r w:rsidRPr="00BC5284">
              <w:t>Yes</w:t>
            </w:r>
          </w:p>
        </w:tc>
      </w:tr>
      <w:tr w:rsidR="00BC5284" w:rsidRPr="00BC5284" w14:paraId="5D5472EC"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0725F12" w14:textId="77777777" w:rsidR="00BC5284" w:rsidRPr="00BC5284" w:rsidRDefault="00BC5284">
            <w:pPr>
              <w:pStyle w:val="TableTextStocktake"/>
            </w:pPr>
            <w:r w:rsidRPr="00BC5284">
              <w:t>Ararat (RC)</w:t>
            </w:r>
          </w:p>
        </w:tc>
        <w:tc>
          <w:tcPr>
            <w:tcW w:w="170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EB5F0BB" w14:textId="77777777" w:rsidR="00BC5284" w:rsidRPr="00BC5284" w:rsidRDefault="00BC5284">
            <w:pPr>
              <w:pStyle w:val="TableTextStocktake"/>
            </w:pPr>
            <w:r w:rsidRPr="00BC5284">
              <w:t>Rural City</w:t>
            </w:r>
          </w:p>
        </w:tc>
        <w:tc>
          <w:tcPr>
            <w:tcW w:w="620"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4E122CF" w14:textId="77777777" w:rsidR="00BC5284" w:rsidRPr="00BC5284" w:rsidRDefault="00BC5284">
            <w:pPr>
              <w:pStyle w:val="TableTextStocktake"/>
              <w:jc w:val="center"/>
            </w:pPr>
            <w:r w:rsidRPr="00BC5284">
              <w:t>Yes</w:t>
            </w:r>
          </w:p>
        </w:tc>
        <w:tc>
          <w:tcPr>
            <w:tcW w:w="60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C010FC1" w14:textId="77777777" w:rsidR="00BC5284" w:rsidRPr="00BC5284" w:rsidRDefault="00BC5284">
            <w:pPr>
              <w:pStyle w:val="TableTextStocktake"/>
              <w:jc w:val="center"/>
            </w:pPr>
            <w:r w:rsidRPr="00BC5284">
              <w:t>Yes</w:t>
            </w:r>
          </w:p>
        </w:tc>
        <w:tc>
          <w:tcPr>
            <w:tcW w:w="556"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FC62D90"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0CECDF8" w14:textId="77777777" w:rsidR="00BC5284" w:rsidRPr="00BC5284" w:rsidRDefault="00BC5284">
            <w:pPr>
              <w:pStyle w:val="TableTextStocktake"/>
              <w:jc w:val="center"/>
            </w:pPr>
            <w:r w:rsidRPr="00BC5284">
              <w:t>Yes</w:t>
            </w:r>
          </w:p>
        </w:tc>
        <w:tc>
          <w:tcPr>
            <w:tcW w:w="64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8C08913" w14:textId="77777777" w:rsidR="00BC5284" w:rsidRPr="00BC5284" w:rsidRDefault="00BC5284">
            <w:pPr>
              <w:pStyle w:val="TableTextStocktake"/>
              <w:jc w:val="center"/>
            </w:pPr>
            <w:r w:rsidRPr="00BC5284">
              <w:t>Yes</w:t>
            </w:r>
          </w:p>
        </w:tc>
        <w:tc>
          <w:tcPr>
            <w:tcW w:w="5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D57598B" w14:textId="77777777" w:rsidR="00BC5284" w:rsidRPr="00BC5284" w:rsidRDefault="00BC5284">
            <w:pPr>
              <w:pStyle w:val="TableTextStocktake"/>
              <w:jc w:val="center"/>
            </w:pPr>
            <w:r w:rsidRPr="00BC5284">
              <w:t>Yes</w:t>
            </w:r>
          </w:p>
        </w:tc>
        <w:tc>
          <w:tcPr>
            <w:tcW w:w="47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B1319D1"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6D22531" w14:textId="77777777" w:rsidR="00BC5284" w:rsidRPr="00BC5284" w:rsidRDefault="00BC5284">
            <w:pPr>
              <w:pStyle w:val="TableTextStocktake"/>
              <w:jc w:val="center"/>
            </w:pPr>
            <w:r w:rsidRPr="00BC5284">
              <w:t>No</w:t>
            </w:r>
          </w:p>
        </w:tc>
        <w:tc>
          <w:tcPr>
            <w:tcW w:w="8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6E9A078" w14:textId="77777777" w:rsidR="00BC5284" w:rsidRPr="00BC5284" w:rsidRDefault="00BC5284">
            <w:pPr>
              <w:pStyle w:val="TableTextStocktake"/>
              <w:jc w:val="center"/>
            </w:pPr>
            <w:r w:rsidRPr="00BC5284">
              <w:t>No</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BBDE300" w14:textId="77777777" w:rsidR="00BC5284" w:rsidRPr="00BC5284" w:rsidRDefault="00BC5284">
            <w:pPr>
              <w:pStyle w:val="TableTextStocktake"/>
              <w:jc w:val="center"/>
            </w:pPr>
            <w:r w:rsidRPr="00BC5284">
              <w:t>Yes</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EBA54CF" w14:textId="77777777" w:rsidR="00BC5284" w:rsidRPr="00BC5284" w:rsidRDefault="00BC5284">
            <w:pPr>
              <w:pStyle w:val="TableTextStocktake"/>
              <w:jc w:val="center"/>
            </w:pPr>
            <w:r w:rsidRPr="00BC5284">
              <w:t>No</w:t>
            </w:r>
          </w:p>
        </w:tc>
      </w:tr>
      <w:tr w:rsidR="00BC5284" w:rsidRPr="00BC5284" w14:paraId="72DD5F77"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C9ACE4" w14:textId="77777777" w:rsidR="00BC5284" w:rsidRPr="00BC5284" w:rsidRDefault="00BC5284">
            <w:pPr>
              <w:pStyle w:val="TableTextStocktake"/>
            </w:pPr>
            <w:r w:rsidRPr="00BC5284">
              <w:t>Ballarat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FA628C"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A365C8"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848A17"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B2656E"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E9F4F8"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6796EC"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15CADB"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13F558"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B81D3E"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46990F"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6A9D81"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293B86" w14:textId="77777777" w:rsidR="00BC5284" w:rsidRPr="00BC5284" w:rsidRDefault="00BC5284">
            <w:pPr>
              <w:pStyle w:val="TableTextStocktake"/>
              <w:jc w:val="center"/>
            </w:pPr>
            <w:r w:rsidRPr="00BC5284">
              <w:t>Yes</w:t>
            </w:r>
          </w:p>
        </w:tc>
      </w:tr>
      <w:tr w:rsidR="00BC5284" w:rsidRPr="00BC5284" w14:paraId="0901BA1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A445A1" w14:textId="77777777" w:rsidR="00BC5284" w:rsidRPr="00BC5284" w:rsidRDefault="00BC5284">
            <w:pPr>
              <w:pStyle w:val="TableTextStocktake"/>
            </w:pPr>
            <w:r w:rsidRPr="00BC5284">
              <w:t>Benalla (RC)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0FEC76"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EF1C79"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240AE1"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C200B3"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A1BE40"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50C7464"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DA03B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CC24D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AF3FC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2D8031"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9BB0AB"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D553EE" w14:textId="77777777" w:rsidR="00BC5284" w:rsidRPr="00BC5284" w:rsidRDefault="00BC5284">
            <w:pPr>
              <w:pStyle w:val="TableTextStocktake"/>
              <w:jc w:val="center"/>
            </w:pPr>
            <w:r w:rsidRPr="00BC5284">
              <w:t>Yes</w:t>
            </w:r>
          </w:p>
        </w:tc>
      </w:tr>
      <w:tr w:rsidR="00BC5284" w:rsidRPr="00BC5284" w14:paraId="627CE96A"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4BC12B" w14:textId="77777777" w:rsidR="00BC5284" w:rsidRPr="00BC5284" w:rsidRDefault="00BC5284">
            <w:pPr>
              <w:pStyle w:val="TableTextStocktake"/>
            </w:pPr>
            <w:r w:rsidRPr="00BC5284">
              <w:t>Greater Bendigo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3E61CA"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3A740D"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82DF42"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BB93DC"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243131"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800F93"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E24E19"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DAEACD"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6E8C84"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11A030"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3B0B35"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29CBD1" w14:textId="77777777" w:rsidR="00BC5284" w:rsidRPr="00BC5284" w:rsidRDefault="00BC5284">
            <w:pPr>
              <w:pStyle w:val="TableTextStocktake"/>
              <w:jc w:val="center"/>
            </w:pPr>
            <w:r w:rsidRPr="00BC5284">
              <w:t>Yes</w:t>
            </w:r>
          </w:p>
        </w:tc>
      </w:tr>
      <w:tr w:rsidR="00BC5284" w:rsidRPr="00BC5284" w14:paraId="1087B99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137533" w14:textId="77777777" w:rsidR="00BC5284" w:rsidRPr="00BC5284" w:rsidRDefault="00BC5284">
            <w:pPr>
              <w:pStyle w:val="TableTextStocktake"/>
            </w:pPr>
            <w:r w:rsidRPr="00BC5284">
              <w:t>Greater Geelong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8422BC"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354DDA"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F88FF1"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B6F208"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7002E2"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2B7A30"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FB2E0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207013"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7841FF"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88BD35"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CF97D5"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00B0B4" w14:textId="77777777" w:rsidR="00BC5284" w:rsidRPr="00BC5284" w:rsidRDefault="00BC5284">
            <w:pPr>
              <w:pStyle w:val="TableTextStocktake"/>
              <w:jc w:val="center"/>
            </w:pPr>
            <w:r w:rsidRPr="00BC5284">
              <w:t>Yes</w:t>
            </w:r>
          </w:p>
        </w:tc>
      </w:tr>
      <w:tr w:rsidR="00BC5284" w:rsidRPr="00BC5284" w14:paraId="12C7B648"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E6B0CA" w14:textId="77777777" w:rsidR="00BC5284" w:rsidRPr="00BC5284" w:rsidRDefault="00BC5284">
            <w:pPr>
              <w:pStyle w:val="TableTextStocktake"/>
            </w:pPr>
            <w:r w:rsidRPr="00BC5284">
              <w:t>Greater Shepparton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19094D"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86B999"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8AE843"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FD4FB3"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E73529"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EF2309"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1FF281"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A6F75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6C5C9C"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29C4DC"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71ECE3"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998672" w14:textId="77777777" w:rsidR="00BC5284" w:rsidRPr="00BC5284" w:rsidRDefault="00BC5284">
            <w:pPr>
              <w:pStyle w:val="TableTextStocktake"/>
              <w:jc w:val="center"/>
            </w:pPr>
            <w:r w:rsidRPr="00BC5284">
              <w:t>Yes</w:t>
            </w:r>
          </w:p>
        </w:tc>
      </w:tr>
      <w:tr w:rsidR="00BC5284" w:rsidRPr="00BC5284" w14:paraId="7F82C8DF"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A8AD2B" w14:textId="77777777" w:rsidR="00BC5284" w:rsidRPr="00BC5284" w:rsidRDefault="00BC5284">
            <w:pPr>
              <w:pStyle w:val="TableTextStocktake"/>
            </w:pPr>
            <w:r w:rsidRPr="00BC5284">
              <w:t>Horsham (RC)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080942"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58237D"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562549"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E1482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9A93FA"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2BCF69"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C0D712"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07A4F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510A0D"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FB5888"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804201"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711016" w14:textId="77777777" w:rsidR="00BC5284" w:rsidRPr="00BC5284" w:rsidRDefault="00BC5284">
            <w:pPr>
              <w:pStyle w:val="TableTextStocktake"/>
              <w:jc w:val="center"/>
            </w:pPr>
            <w:r w:rsidRPr="00BC5284">
              <w:t>Yes</w:t>
            </w:r>
          </w:p>
        </w:tc>
      </w:tr>
      <w:tr w:rsidR="00BC5284" w:rsidRPr="00BC5284" w14:paraId="6FD5F2F3"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610BA5" w14:textId="77777777" w:rsidR="00BC5284" w:rsidRPr="00BC5284" w:rsidRDefault="00BC5284">
            <w:pPr>
              <w:pStyle w:val="TableTextStocktake"/>
            </w:pPr>
            <w:r w:rsidRPr="00BC5284">
              <w:t>Latrobe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108A3DD"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8336D9"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DBC2FA"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D3C7B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A26C1D"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1A4ED4"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4F00FE"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E5F24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8C7E1D"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CEDCB9"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F69C45"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D5E598" w14:textId="77777777" w:rsidR="00BC5284" w:rsidRPr="00BC5284" w:rsidRDefault="00BC5284">
            <w:pPr>
              <w:pStyle w:val="TableTextStocktake"/>
              <w:jc w:val="center"/>
            </w:pPr>
            <w:r w:rsidRPr="00BC5284">
              <w:t>Yes</w:t>
            </w:r>
          </w:p>
        </w:tc>
      </w:tr>
      <w:tr w:rsidR="00BC5284" w:rsidRPr="00BC5284" w14:paraId="70280B86"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D6427E" w14:textId="77777777" w:rsidR="00BC5284" w:rsidRPr="00BC5284" w:rsidRDefault="00BC5284">
            <w:pPr>
              <w:pStyle w:val="TableTextStocktake"/>
            </w:pPr>
            <w:r w:rsidRPr="00BC5284">
              <w:t>Mildura (RC)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C1E379"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404AA2"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7C1319"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F595C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80ACB9"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6EE11D"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BF005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C7BAA5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41DA8B"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69B64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837D77"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7121BC" w14:textId="77777777" w:rsidR="00BC5284" w:rsidRPr="00BC5284" w:rsidRDefault="00BC5284">
            <w:pPr>
              <w:pStyle w:val="TableTextStocktake"/>
              <w:jc w:val="center"/>
            </w:pPr>
            <w:r w:rsidRPr="00BC5284">
              <w:t>Yes</w:t>
            </w:r>
          </w:p>
        </w:tc>
      </w:tr>
      <w:tr w:rsidR="00BC5284" w:rsidRPr="00BC5284" w14:paraId="7506A818"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4F18E7" w14:textId="77777777" w:rsidR="00BC5284" w:rsidRPr="00BC5284" w:rsidRDefault="00BC5284">
            <w:pPr>
              <w:pStyle w:val="TableTextStocktake"/>
            </w:pPr>
            <w:r w:rsidRPr="00BC5284">
              <w:t>Swan Hill (RC)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7B2E42"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AA79BB"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0D0061"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D4766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CF6693"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9ED35E"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1F9F4E"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2F4B3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65CC61"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5E9D0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BBC036"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C98BD7" w14:textId="77777777" w:rsidR="00BC5284" w:rsidRPr="00BC5284" w:rsidRDefault="00BC5284">
            <w:pPr>
              <w:pStyle w:val="TableTextStocktake"/>
              <w:jc w:val="center"/>
            </w:pPr>
            <w:r w:rsidRPr="00BC5284">
              <w:t>Yes</w:t>
            </w:r>
          </w:p>
        </w:tc>
      </w:tr>
      <w:tr w:rsidR="00BC5284" w:rsidRPr="00BC5284" w14:paraId="6C8B8EE6"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6B9DA0" w14:textId="77777777" w:rsidR="00BC5284" w:rsidRPr="00BC5284" w:rsidRDefault="00BC5284">
            <w:pPr>
              <w:pStyle w:val="TableTextStocktake"/>
            </w:pPr>
            <w:r w:rsidRPr="00BC5284">
              <w:t>Wangaratta (RC)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8AD52D"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20CEDB"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AC612F"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18EF5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A296FA"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86BB68"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D03C4E"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A646A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F1C8CB"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B0CFD6"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223881"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DE9F20" w14:textId="77777777" w:rsidR="00BC5284" w:rsidRPr="00BC5284" w:rsidRDefault="00BC5284">
            <w:pPr>
              <w:pStyle w:val="TableTextStocktake"/>
              <w:jc w:val="center"/>
            </w:pPr>
            <w:r w:rsidRPr="00BC5284">
              <w:t>Yes</w:t>
            </w:r>
          </w:p>
        </w:tc>
      </w:tr>
      <w:tr w:rsidR="00BC5284" w:rsidRPr="00BC5284" w14:paraId="1E34F9B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F60C8F" w14:textId="77777777" w:rsidR="00BC5284" w:rsidRPr="00BC5284" w:rsidRDefault="00BC5284">
            <w:pPr>
              <w:pStyle w:val="TableTextStocktake"/>
            </w:pPr>
            <w:r w:rsidRPr="00BC5284">
              <w:t>Warrnambool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4C9F4B"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87D5D1"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227708"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3D726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59D279"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EC40A0"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781DB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186B9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E45A9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7451D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753A43"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491845" w14:textId="77777777" w:rsidR="00BC5284" w:rsidRPr="00BC5284" w:rsidRDefault="00BC5284">
            <w:pPr>
              <w:pStyle w:val="TableTextStocktake"/>
              <w:jc w:val="center"/>
            </w:pPr>
            <w:r w:rsidRPr="00BC5284">
              <w:t>Yes</w:t>
            </w:r>
          </w:p>
        </w:tc>
      </w:tr>
      <w:tr w:rsidR="00BC5284" w:rsidRPr="00BC5284" w14:paraId="0D0D32F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15BC0FB" w14:textId="77777777" w:rsidR="00BC5284" w:rsidRPr="00BC5284" w:rsidRDefault="00BC5284">
            <w:pPr>
              <w:pStyle w:val="TableTextStocktake"/>
            </w:pPr>
            <w:r w:rsidRPr="00BC5284">
              <w:t>Wodonga (C)</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8075A89" w14:textId="77777777" w:rsidR="00BC5284" w:rsidRPr="00BC5284" w:rsidRDefault="00BC5284">
            <w:pPr>
              <w:pStyle w:val="TableTextStocktake"/>
            </w:pPr>
            <w:r w:rsidRPr="00BC5284">
              <w:t>Rural City</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D29359F"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0FB1EA2"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2CD2E8B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236B9B4"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87F0694"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C2C53F3"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B9D789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328984B"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376741C0"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F5227B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5DC9429C" w14:textId="77777777" w:rsidR="00BC5284" w:rsidRPr="00BC5284" w:rsidRDefault="00BC5284">
            <w:pPr>
              <w:pStyle w:val="TableTextStocktake"/>
              <w:jc w:val="center"/>
            </w:pPr>
            <w:r w:rsidRPr="00BC5284">
              <w:t>Yes</w:t>
            </w:r>
          </w:p>
        </w:tc>
      </w:tr>
      <w:tr w:rsidR="00BC5284" w:rsidRPr="00BC5284" w14:paraId="16430E07" w14:textId="77777777" w:rsidTr="001F4513">
        <w:trPr>
          <w:trHeight w:val="60"/>
        </w:trPr>
        <w:tc>
          <w:tcPr>
            <w:tcW w:w="1986"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E67F9FA" w14:textId="77777777" w:rsidR="00BC5284" w:rsidRPr="00BC5284" w:rsidRDefault="00BC5284">
            <w:pPr>
              <w:pStyle w:val="NoParagraphStyle"/>
              <w:spacing w:line="240" w:lineRule="auto"/>
              <w:textAlignment w:val="auto"/>
              <w:rPr>
                <w:rFonts w:cs="Times New Roman"/>
                <w:color w:val="auto"/>
              </w:rPr>
            </w:pPr>
          </w:p>
        </w:tc>
        <w:tc>
          <w:tcPr>
            <w:tcW w:w="1700"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05EDCF07" w14:textId="77777777" w:rsidR="00BC5284" w:rsidRPr="00BC5284" w:rsidRDefault="00BC5284">
            <w:pPr>
              <w:pStyle w:val="NoParagraphStyle"/>
              <w:spacing w:line="240" w:lineRule="auto"/>
              <w:textAlignment w:val="auto"/>
              <w:rPr>
                <w:rFonts w:cs="Times New Roman"/>
                <w:color w:val="auto"/>
              </w:rPr>
            </w:pPr>
          </w:p>
        </w:tc>
        <w:tc>
          <w:tcPr>
            <w:tcW w:w="620"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0F2C05E7" w14:textId="77777777" w:rsidR="00BC5284" w:rsidRPr="00BC5284" w:rsidRDefault="00BC5284">
            <w:pPr>
              <w:pStyle w:val="NoParagraphStyle"/>
              <w:spacing w:line="240" w:lineRule="auto"/>
              <w:textAlignment w:val="auto"/>
              <w:rPr>
                <w:rFonts w:cs="Times New Roman"/>
                <w:color w:val="auto"/>
              </w:rPr>
            </w:pPr>
          </w:p>
        </w:tc>
        <w:tc>
          <w:tcPr>
            <w:tcW w:w="60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26EB37E6" w14:textId="77777777" w:rsidR="00BC5284" w:rsidRPr="00BC5284" w:rsidRDefault="00BC5284">
            <w:pPr>
              <w:pStyle w:val="NoParagraphStyle"/>
              <w:spacing w:line="240" w:lineRule="auto"/>
              <w:textAlignment w:val="auto"/>
              <w:rPr>
                <w:rFonts w:cs="Times New Roman"/>
                <w:color w:val="auto"/>
              </w:rPr>
            </w:pPr>
          </w:p>
        </w:tc>
        <w:tc>
          <w:tcPr>
            <w:tcW w:w="556"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28CC4940" w14:textId="77777777" w:rsidR="00BC5284" w:rsidRPr="00BC5284" w:rsidRDefault="00BC5284">
            <w:pPr>
              <w:pStyle w:val="NoParagraphStyle"/>
              <w:spacing w:line="240" w:lineRule="auto"/>
              <w:textAlignment w:val="auto"/>
              <w:rPr>
                <w:rFonts w:cs="Times New Roman"/>
                <w:color w:val="auto"/>
              </w:rPr>
            </w:pPr>
          </w:p>
        </w:tc>
        <w:tc>
          <w:tcPr>
            <w:tcW w:w="555"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022D5CC" w14:textId="77777777" w:rsidR="00BC5284" w:rsidRPr="00BC5284" w:rsidRDefault="00BC5284">
            <w:pPr>
              <w:pStyle w:val="NoParagraphStyle"/>
              <w:spacing w:line="240" w:lineRule="auto"/>
              <w:textAlignment w:val="auto"/>
              <w:rPr>
                <w:rFonts w:cs="Times New Roman"/>
                <w:color w:val="auto"/>
              </w:rPr>
            </w:pPr>
          </w:p>
        </w:tc>
        <w:tc>
          <w:tcPr>
            <w:tcW w:w="645"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1370B9C5" w14:textId="77777777" w:rsidR="00BC5284" w:rsidRPr="00BC5284" w:rsidRDefault="00BC5284">
            <w:pPr>
              <w:pStyle w:val="NoParagraphStyle"/>
              <w:spacing w:line="240" w:lineRule="auto"/>
              <w:textAlignment w:val="auto"/>
              <w:rPr>
                <w:rFonts w:cs="Times New Roman"/>
                <w:color w:val="auto"/>
              </w:rPr>
            </w:pPr>
          </w:p>
        </w:tc>
        <w:tc>
          <w:tcPr>
            <w:tcW w:w="567"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6693790E" w14:textId="77777777" w:rsidR="00BC5284" w:rsidRPr="00BC5284" w:rsidRDefault="00BC5284">
            <w:pPr>
              <w:pStyle w:val="NoParagraphStyle"/>
              <w:spacing w:line="240" w:lineRule="auto"/>
              <w:textAlignment w:val="auto"/>
              <w:rPr>
                <w:rFonts w:cs="Times New Roman"/>
                <w:color w:val="auto"/>
              </w:rPr>
            </w:pPr>
          </w:p>
        </w:tc>
        <w:tc>
          <w:tcPr>
            <w:tcW w:w="478"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297FAA8" w14:textId="77777777" w:rsidR="00BC5284" w:rsidRPr="00BC5284" w:rsidRDefault="00BC5284">
            <w:pPr>
              <w:pStyle w:val="NoParagraphStyle"/>
              <w:spacing w:line="240" w:lineRule="auto"/>
              <w:textAlignment w:val="auto"/>
              <w:rPr>
                <w:rFonts w:cs="Times New Roman"/>
                <w:color w:val="auto"/>
              </w:rPr>
            </w:pPr>
          </w:p>
        </w:tc>
        <w:tc>
          <w:tcPr>
            <w:tcW w:w="555"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5B77E070" w14:textId="77777777" w:rsidR="00BC5284" w:rsidRPr="00BC5284" w:rsidRDefault="00BC5284">
            <w:pPr>
              <w:pStyle w:val="NoParagraphStyle"/>
              <w:spacing w:line="240" w:lineRule="auto"/>
              <w:textAlignment w:val="auto"/>
              <w:rPr>
                <w:rFonts w:cs="Times New Roman"/>
                <w:color w:val="auto"/>
              </w:rPr>
            </w:pPr>
          </w:p>
        </w:tc>
        <w:tc>
          <w:tcPr>
            <w:tcW w:w="809"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20EA07A0" w14:textId="77777777" w:rsidR="00BC5284" w:rsidRPr="00BC5284" w:rsidRDefault="00BC5284">
            <w:pPr>
              <w:pStyle w:val="NoParagraphStyle"/>
              <w:spacing w:line="240" w:lineRule="auto"/>
              <w:textAlignment w:val="auto"/>
              <w:rPr>
                <w:rFonts w:cs="Times New Roman"/>
                <w:color w:val="auto"/>
              </w:rPr>
            </w:pPr>
          </w:p>
        </w:tc>
        <w:tc>
          <w:tcPr>
            <w:tcW w:w="851"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D333DEC" w14:textId="77777777" w:rsidR="00BC5284" w:rsidRPr="00BC5284" w:rsidRDefault="00BC5284">
            <w:pPr>
              <w:pStyle w:val="NoParagraphStyle"/>
              <w:spacing w:line="240" w:lineRule="auto"/>
              <w:textAlignment w:val="auto"/>
              <w:rPr>
                <w:rFonts w:cs="Times New Roman"/>
                <w:color w:val="auto"/>
              </w:rPr>
            </w:pPr>
          </w:p>
        </w:tc>
        <w:tc>
          <w:tcPr>
            <w:tcW w:w="709" w:type="dxa"/>
            <w:tcBorders>
              <w:top w:val="single" w:sz="2" w:space="0" w:color="000000"/>
              <w:left w:val="single" w:sz="6" w:space="0" w:color="000000"/>
              <w:bottom w:val="single" w:sz="6" w:space="0" w:color="000000"/>
              <w:right w:val="single" w:sz="6" w:space="0" w:color="000000"/>
            </w:tcBorders>
            <w:tcMar>
              <w:top w:w="57" w:type="dxa"/>
              <w:left w:w="80" w:type="dxa"/>
              <w:bottom w:w="113" w:type="dxa"/>
              <w:right w:w="80" w:type="dxa"/>
            </w:tcMar>
          </w:tcPr>
          <w:p w14:paraId="41DB546F" w14:textId="77777777" w:rsidR="00BC5284" w:rsidRPr="00BC5284" w:rsidRDefault="00BC5284">
            <w:pPr>
              <w:pStyle w:val="NoParagraphStyle"/>
              <w:spacing w:line="240" w:lineRule="auto"/>
              <w:textAlignment w:val="auto"/>
              <w:rPr>
                <w:rFonts w:cs="Times New Roman"/>
                <w:color w:val="auto"/>
              </w:rPr>
            </w:pPr>
          </w:p>
        </w:tc>
      </w:tr>
      <w:tr w:rsidR="00BC5284" w:rsidRPr="00BC5284" w14:paraId="4CA99177" w14:textId="77777777" w:rsidTr="001F4513">
        <w:trPr>
          <w:trHeight w:val="3396"/>
        </w:trPr>
        <w:tc>
          <w:tcPr>
            <w:tcW w:w="1986" w:type="dxa"/>
            <w:tcBorders>
              <w:top w:val="single" w:sz="6" w:space="0" w:color="000000"/>
              <w:left w:val="single" w:sz="6" w:space="0" w:color="000000"/>
              <w:bottom w:val="single" w:sz="6" w:space="0" w:color="000000"/>
              <w:right w:val="single" w:sz="6" w:space="0" w:color="000000"/>
            </w:tcBorders>
            <w:shd w:val="clear" w:color="313E48" w:fill="auto"/>
            <w:tcMar>
              <w:top w:w="80" w:type="dxa"/>
              <w:left w:w="80" w:type="dxa"/>
              <w:bottom w:w="80" w:type="dxa"/>
              <w:right w:w="80" w:type="dxa"/>
            </w:tcMar>
          </w:tcPr>
          <w:p w14:paraId="257DE502" w14:textId="77777777" w:rsidR="00BC5284" w:rsidRPr="001F4513" w:rsidRDefault="00BC5284">
            <w:pPr>
              <w:pStyle w:val="TableText"/>
            </w:pPr>
            <w:r w:rsidRPr="001F4513">
              <w:rPr>
                <w:rStyle w:val="TabletextBold"/>
                <w:rFonts w:cs="FreightSans Pro Bold"/>
                <w:bCs/>
              </w:rPr>
              <w:t>Council (Type)</w:t>
            </w:r>
          </w:p>
        </w:tc>
        <w:tc>
          <w:tcPr>
            <w:tcW w:w="1700" w:type="dxa"/>
            <w:tcBorders>
              <w:top w:val="single" w:sz="6" w:space="0" w:color="000000"/>
              <w:left w:val="single" w:sz="6" w:space="0" w:color="000000"/>
              <w:bottom w:val="single" w:sz="6" w:space="0" w:color="000000"/>
              <w:right w:val="single" w:sz="6" w:space="0" w:color="000000"/>
            </w:tcBorders>
            <w:shd w:val="clear" w:color="313E48" w:fill="auto"/>
            <w:tcMar>
              <w:top w:w="80" w:type="dxa"/>
              <w:left w:w="80" w:type="dxa"/>
              <w:bottom w:w="80" w:type="dxa"/>
              <w:right w:w="80" w:type="dxa"/>
            </w:tcMar>
          </w:tcPr>
          <w:p w14:paraId="69C7359F" w14:textId="77777777" w:rsidR="00BC5284" w:rsidRPr="001F4513" w:rsidRDefault="00BC5284">
            <w:pPr>
              <w:pStyle w:val="TableText"/>
            </w:pPr>
            <w:r w:rsidRPr="001F4513">
              <w:rPr>
                <w:rStyle w:val="TabletextBold"/>
                <w:rFonts w:cs="FreightSans Pro Bold"/>
                <w:bCs/>
              </w:rPr>
              <w:t>Council Grouping</w:t>
            </w:r>
          </w:p>
        </w:tc>
        <w:tc>
          <w:tcPr>
            <w:tcW w:w="620"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1A6101EF" w14:textId="77777777" w:rsidR="00BC5284" w:rsidRPr="001F4513" w:rsidRDefault="00BC5284">
            <w:pPr>
              <w:pStyle w:val="TableText"/>
            </w:pPr>
            <w:r w:rsidRPr="001F4513">
              <w:rPr>
                <w:rStyle w:val="TabletextBold"/>
                <w:rFonts w:cs="FreightSans Pro Bold"/>
                <w:bCs/>
              </w:rPr>
              <w:t>Has council undertaken a heritage study in the past three years?</w:t>
            </w:r>
          </w:p>
        </w:tc>
        <w:tc>
          <w:tcPr>
            <w:tcW w:w="601"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1693FA41" w14:textId="77777777" w:rsidR="00BC5284" w:rsidRPr="001F4513" w:rsidRDefault="00BC5284">
            <w:pPr>
              <w:pStyle w:val="TableText"/>
            </w:pPr>
            <w:r w:rsidRPr="001F4513">
              <w:rPr>
                <w:rStyle w:val="TabletextBold"/>
                <w:rFonts w:cs="FreightSans Pro Bold"/>
                <w:bCs/>
              </w:rPr>
              <w:t>Does council have place-type gaps in its heritage studies?</w:t>
            </w:r>
          </w:p>
        </w:tc>
        <w:tc>
          <w:tcPr>
            <w:tcW w:w="556"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45F44D94" w14:textId="77777777" w:rsidR="00BC5284" w:rsidRPr="001F4513" w:rsidRDefault="00BC5284">
            <w:pPr>
              <w:pStyle w:val="TableText"/>
            </w:pPr>
            <w:r w:rsidRPr="001F4513">
              <w:rPr>
                <w:rStyle w:val="TabletextBold"/>
                <w:rFonts w:cs="FreightSans Pro Bold"/>
                <w:bCs/>
              </w:rPr>
              <w:t>Does council have geographical gaps in its heritage studies?</w:t>
            </w:r>
          </w:p>
        </w:tc>
        <w:tc>
          <w:tcPr>
            <w:tcW w:w="555"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485108EC" w14:textId="77777777" w:rsidR="00BC5284" w:rsidRPr="001F4513" w:rsidRDefault="00BC5284">
            <w:pPr>
              <w:pStyle w:val="TableText"/>
            </w:pPr>
            <w:r w:rsidRPr="001F4513">
              <w:rPr>
                <w:rStyle w:val="TabletextBold"/>
                <w:rFonts w:cs="FreightSans Pro Bold"/>
                <w:bCs/>
              </w:rPr>
              <w:t>Has council translated all its heritage studies into HOs?</w:t>
            </w:r>
          </w:p>
        </w:tc>
        <w:tc>
          <w:tcPr>
            <w:tcW w:w="645"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67D01DA0" w14:textId="77777777" w:rsidR="00BC5284" w:rsidRPr="001F4513" w:rsidRDefault="00BC5284">
            <w:pPr>
              <w:pStyle w:val="TableText"/>
            </w:pPr>
            <w:r w:rsidRPr="001F4513">
              <w:rPr>
                <w:rStyle w:val="TabletextBold"/>
                <w:rFonts w:cs="FreightSans Pro Bold"/>
                <w:bCs/>
              </w:rPr>
              <w:t>Does council have a heritage strategy or plan?</w:t>
            </w:r>
          </w:p>
        </w:tc>
        <w:tc>
          <w:tcPr>
            <w:tcW w:w="567"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360D5F70" w14:textId="77777777" w:rsidR="00BC5284" w:rsidRPr="001F4513" w:rsidRDefault="00BC5284">
            <w:pPr>
              <w:pStyle w:val="TableText"/>
            </w:pPr>
            <w:r w:rsidRPr="001F4513">
              <w:rPr>
                <w:rStyle w:val="TabletextBold"/>
                <w:rFonts w:cs="FreightSans Pro Bold"/>
                <w:bCs/>
              </w:rPr>
              <w:t>Does council have a consultant Heritage Advisor?</w:t>
            </w:r>
          </w:p>
        </w:tc>
        <w:tc>
          <w:tcPr>
            <w:tcW w:w="478"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3A131D23" w14:textId="77777777" w:rsidR="00BC5284" w:rsidRPr="001F4513" w:rsidRDefault="00BC5284">
            <w:pPr>
              <w:pStyle w:val="TableText"/>
            </w:pPr>
            <w:r w:rsidRPr="001F4513">
              <w:rPr>
                <w:rStyle w:val="TabletextBold"/>
                <w:rFonts w:cs="FreightSans Pro Bold"/>
                <w:bCs/>
              </w:rPr>
              <w:t>Does council have internal heritage staff?</w:t>
            </w:r>
          </w:p>
        </w:tc>
        <w:tc>
          <w:tcPr>
            <w:tcW w:w="555"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0A518C34" w14:textId="77777777" w:rsidR="00BC5284" w:rsidRPr="001F4513" w:rsidRDefault="00BC5284">
            <w:pPr>
              <w:pStyle w:val="TableText"/>
            </w:pPr>
            <w:r w:rsidRPr="001F4513">
              <w:rPr>
                <w:rStyle w:val="TabletextBold"/>
                <w:rFonts w:cs="FreightSans Pro Bold"/>
                <w:bCs/>
              </w:rPr>
              <w:t>Does council have a Heritage Advisory Committee?</w:t>
            </w:r>
          </w:p>
        </w:tc>
        <w:tc>
          <w:tcPr>
            <w:tcW w:w="809"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757C5B1D" w14:textId="77777777" w:rsidR="00BC5284" w:rsidRPr="001F4513" w:rsidRDefault="00BC5284">
            <w:pPr>
              <w:pStyle w:val="TableText"/>
            </w:pPr>
            <w:r w:rsidRPr="001F4513">
              <w:rPr>
                <w:rStyle w:val="TabletextBold"/>
                <w:rFonts w:cs="FreightSans Pro Bold"/>
                <w:bCs/>
              </w:rPr>
              <w:t>Does council have measures to support the protection of historic heritage places?</w:t>
            </w:r>
          </w:p>
        </w:tc>
        <w:tc>
          <w:tcPr>
            <w:tcW w:w="851"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3EC05887" w14:textId="77777777" w:rsidR="00BC5284" w:rsidRPr="001F4513" w:rsidRDefault="00BC5284">
            <w:pPr>
              <w:pStyle w:val="TableText"/>
            </w:pPr>
            <w:r w:rsidRPr="001F4513">
              <w:rPr>
                <w:rStyle w:val="TabletextBold"/>
                <w:rFonts w:cs="FreightSans Pro Bold"/>
                <w:bCs/>
              </w:rPr>
              <w:t>Does council have mechanisms to communicate knowledge and celebrate historic heritage places?</w:t>
            </w:r>
          </w:p>
        </w:tc>
        <w:tc>
          <w:tcPr>
            <w:tcW w:w="709" w:type="dxa"/>
            <w:tcBorders>
              <w:top w:val="single" w:sz="6" w:space="0" w:color="000000"/>
              <w:left w:val="single" w:sz="6" w:space="0" w:color="000000"/>
              <w:bottom w:val="single" w:sz="6" w:space="0" w:color="000000"/>
              <w:right w:val="single" w:sz="6" w:space="0" w:color="000000"/>
            </w:tcBorders>
            <w:shd w:val="clear" w:color="313E48" w:fill="auto"/>
            <w:tcMar>
              <w:top w:w="57" w:type="dxa"/>
              <w:left w:w="57" w:type="dxa"/>
              <w:bottom w:w="57" w:type="dxa"/>
              <w:right w:w="57" w:type="dxa"/>
            </w:tcMar>
            <w:textDirection w:val="btLr"/>
          </w:tcPr>
          <w:p w14:paraId="74110995" w14:textId="77777777" w:rsidR="00BC5284" w:rsidRPr="001F4513" w:rsidRDefault="00BC5284">
            <w:pPr>
              <w:pStyle w:val="TableText"/>
            </w:pPr>
            <w:r w:rsidRPr="001F4513">
              <w:rPr>
                <w:rStyle w:val="TabletextBold"/>
                <w:rFonts w:cs="FreightSans Pro Bold"/>
                <w:bCs/>
              </w:rPr>
              <w:t>Does council have its local heritage data on HERMES?</w:t>
            </w:r>
          </w:p>
        </w:tc>
      </w:tr>
      <w:tr w:rsidR="00BC5284" w:rsidRPr="00BC5284" w14:paraId="4E4B8D1D" w14:textId="77777777" w:rsidTr="001F4513">
        <w:trPr>
          <w:trHeight w:val="60"/>
        </w:trPr>
        <w:tc>
          <w:tcPr>
            <w:tcW w:w="1986"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03E5148" w14:textId="77777777" w:rsidR="00BC5284" w:rsidRPr="00BC5284" w:rsidRDefault="00BC5284">
            <w:pPr>
              <w:pStyle w:val="TableTextStocktake"/>
            </w:pPr>
            <w:r w:rsidRPr="00BC5284">
              <w:t>Bass Coast (S)</w:t>
            </w:r>
          </w:p>
        </w:tc>
        <w:tc>
          <w:tcPr>
            <w:tcW w:w="1700"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1C102D6" w14:textId="77777777" w:rsidR="00BC5284" w:rsidRPr="00BC5284" w:rsidRDefault="00BC5284">
            <w:pPr>
              <w:pStyle w:val="TableTextStocktake"/>
            </w:pPr>
            <w:r w:rsidRPr="00BC5284">
              <w:t>Rural Large</w:t>
            </w:r>
          </w:p>
        </w:tc>
        <w:tc>
          <w:tcPr>
            <w:tcW w:w="620"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49690C1" w14:textId="77777777" w:rsidR="00BC5284" w:rsidRPr="00BC5284" w:rsidRDefault="00BC5284">
            <w:pPr>
              <w:pStyle w:val="TableTextStocktake"/>
              <w:jc w:val="center"/>
            </w:pPr>
            <w:r w:rsidRPr="00BC5284">
              <w:t>No</w:t>
            </w:r>
          </w:p>
        </w:tc>
        <w:tc>
          <w:tcPr>
            <w:tcW w:w="60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F3BFAC2" w14:textId="77777777" w:rsidR="00BC5284" w:rsidRPr="00BC5284" w:rsidRDefault="00BC5284">
            <w:pPr>
              <w:pStyle w:val="TableTextStocktake"/>
              <w:jc w:val="center"/>
            </w:pPr>
            <w:r w:rsidRPr="00BC5284">
              <w:t>Yes</w:t>
            </w:r>
          </w:p>
        </w:tc>
        <w:tc>
          <w:tcPr>
            <w:tcW w:w="556"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B0F9243" w14:textId="77777777" w:rsidR="00BC5284" w:rsidRPr="00BC5284" w:rsidRDefault="00BC5284">
            <w:pPr>
              <w:pStyle w:val="TableTextStocktake"/>
              <w:jc w:val="center"/>
            </w:pPr>
            <w:r w:rsidRPr="00BC5284">
              <w:t>No</w:t>
            </w:r>
          </w:p>
        </w:tc>
        <w:tc>
          <w:tcPr>
            <w:tcW w:w="555"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F6AC723" w14:textId="77777777" w:rsidR="00BC5284" w:rsidRPr="00BC5284" w:rsidRDefault="00BC5284">
            <w:pPr>
              <w:pStyle w:val="TableTextStocktake"/>
              <w:jc w:val="center"/>
            </w:pPr>
            <w:r w:rsidRPr="00BC5284">
              <w:t>No</w:t>
            </w:r>
          </w:p>
        </w:tc>
        <w:tc>
          <w:tcPr>
            <w:tcW w:w="645"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E668FC2" w14:textId="77777777" w:rsidR="00BC5284" w:rsidRPr="00BC5284" w:rsidRDefault="00BC5284">
            <w:pPr>
              <w:pStyle w:val="TableTextStocktake"/>
              <w:jc w:val="center"/>
            </w:pPr>
            <w:r w:rsidRPr="00BC5284">
              <w:t>No</w:t>
            </w:r>
          </w:p>
        </w:tc>
        <w:tc>
          <w:tcPr>
            <w:tcW w:w="567"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FA60407" w14:textId="77777777" w:rsidR="00BC5284" w:rsidRPr="00BC5284" w:rsidRDefault="00BC5284">
            <w:pPr>
              <w:pStyle w:val="TableTextStocktake"/>
              <w:jc w:val="center"/>
            </w:pPr>
            <w:r w:rsidRPr="00BC5284">
              <w:t>Yes</w:t>
            </w:r>
          </w:p>
        </w:tc>
        <w:tc>
          <w:tcPr>
            <w:tcW w:w="478"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EF578CD" w14:textId="77777777" w:rsidR="00BC5284" w:rsidRPr="00BC5284" w:rsidRDefault="00BC5284">
            <w:pPr>
              <w:pStyle w:val="TableTextStocktake"/>
              <w:jc w:val="center"/>
            </w:pPr>
            <w:r w:rsidRPr="00BC5284">
              <w:t>No</w:t>
            </w:r>
          </w:p>
        </w:tc>
        <w:tc>
          <w:tcPr>
            <w:tcW w:w="555"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A283ED8" w14:textId="77777777" w:rsidR="00BC5284" w:rsidRPr="00BC5284" w:rsidRDefault="00BC5284">
            <w:pPr>
              <w:pStyle w:val="TableTextStocktake"/>
              <w:jc w:val="center"/>
            </w:pPr>
            <w:r w:rsidRPr="00BC5284">
              <w:t>No</w:t>
            </w:r>
          </w:p>
        </w:tc>
        <w:tc>
          <w:tcPr>
            <w:tcW w:w="809"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4FFAD4D" w14:textId="77777777" w:rsidR="00BC5284" w:rsidRPr="00BC5284" w:rsidRDefault="00BC5284">
            <w:pPr>
              <w:pStyle w:val="TableTextStocktake"/>
              <w:jc w:val="center"/>
            </w:pPr>
            <w:r w:rsidRPr="00BC5284">
              <w:t>No</w:t>
            </w:r>
          </w:p>
        </w:tc>
        <w:tc>
          <w:tcPr>
            <w:tcW w:w="851"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FA82BBA" w14:textId="77777777" w:rsidR="00BC5284" w:rsidRPr="00BC5284" w:rsidRDefault="00BC5284">
            <w:pPr>
              <w:pStyle w:val="TableTextStocktake"/>
              <w:jc w:val="center"/>
            </w:pPr>
            <w:r w:rsidRPr="00BC5284">
              <w:t>No</w:t>
            </w:r>
          </w:p>
        </w:tc>
        <w:tc>
          <w:tcPr>
            <w:tcW w:w="709" w:type="dxa"/>
            <w:tcBorders>
              <w:top w:val="single" w:sz="6"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1A266BA" w14:textId="77777777" w:rsidR="00BC5284" w:rsidRPr="00BC5284" w:rsidRDefault="00BC5284">
            <w:pPr>
              <w:pStyle w:val="TableTextStocktake"/>
              <w:jc w:val="center"/>
            </w:pPr>
            <w:r w:rsidRPr="00BC5284">
              <w:t>No</w:t>
            </w:r>
          </w:p>
        </w:tc>
      </w:tr>
      <w:tr w:rsidR="00BC5284" w:rsidRPr="00BC5284" w14:paraId="769E100B"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717D6F" w14:textId="77777777" w:rsidR="00BC5284" w:rsidRPr="00BC5284" w:rsidRDefault="00BC5284">
            <w:pPr>
              <w:pStyle w:val="TableTextStocktake"/>
            </w:pPr>
            <w:r w:rsidRPr="00BC5284">
              <w:lastRenderedPageBreak/>
              <w:t>Baw Baw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E5DFD7"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C9371C"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541EB0"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2A26E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22FAAF"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F7B6BB"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2A15C1"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914B9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0E3F84"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A78C5C"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C0845B"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A27637" w14:textId="77777777" w:rsidR="00BC5284" w:rsidRPr="00BC5284" w:rsidRDefault="00BC5284">
            <w:pPr>
              <w:pStyle w:val="TableTextStocktake"/>
              <w:jc w:val="center"/>
            </w:pPr>
            <w:r w:rsidRPr="00BC5284">
              <w:t>Yes</w:t>
            </w:r>
          </w:p>
        </w:tc>
      </w:tr>
      <w:tr w:rsidR="00BC5284" w:rsidRPr="00BC5284" w14:paraId="504E29D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DA5DB3" w14:textId="77777777" w:rsidR="00BC5284" w:rsidRPr="00BC5284" w:rsidRDefault="00BC5284">
            <w:pPr>
              <w:pStyle w:val="TableTextStocktake"/>
            </w:pPr>
            <w:r w:rsidRPr="00BC5284">
              <w:t>Campaspe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495E7D"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BABFAD"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57F04A"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AA39A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D735FD0"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2F90B7"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CFBAE3"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415A6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36D7C5"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009F0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E25A36"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ABB511" w14:textId="77777777" w:rsidR="00BC5284" w:rsidRPr="00BC5284" w:rsidRDefault="00BC5284">
            <w:pPr>
              <w:pStyle w:val="TableTextStocktake"/>
              <w:jc w:val="center"/>
            </w:pPr>
            <w:r w:rsidRPr="00BC5284">
              <w:t>Yes</w:t>
            </w:r>
          </w:p>
        </w:tc>
      </w:tr>
      <w:tr w:rsidR="00BC5284" w:rsidRPr="00BC5284" w14:paraId="669ED5D7"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A8D135" w14:textId="77777777" w:rsidR="00BC5284" w:rsidRPr="00BC5284" w:rsidRDefault="00BC5284">
            <w:pPr>
              <w:pStyle w:val="TableTextStocktake"/>
            </w:pPr>
            <w:r w:rsidRPr="00BC5284">
              <w:t>Colac Otway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6EDADD"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CF0662"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34BCFC"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42F227"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509D82"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B747D0"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4ACA43"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3E1BB1"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B94DB6"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E71510"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1FC766"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3183EC" w14:textId="77777777" w:rsidR="00BC5284" w:rsidRPr="00BC5284" w:rsidRDefault="00BC5284">
            <w:pPr>
              <w:pStyle w:val="TableTextStocktake"/>
              <w:jc w:val="center"/>
            </w:pPr>
            <w:r w:rsidRPr="00BC5284">
              <w:t>Yes</w:t>
            </w:r>
          </w:p>
        </w:tc>
      </w:tr>
      <w:tr w:rsidR="00BC5284" w:rsidRPr="00BC5284" w14:paraId="7B9D2236"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7E8287" w14:textId="77777777" w:rsidR="00BC5284" w:rsidRPr="00BC5284" w:rsidRDefault="00BC5284">
            <w:pPr>
              <w:pStyle w:val="TableTextStocktake"/>
            </w:pPr>
            <w:r w:rsidRPr="00BC5284">
              <w:t>Corangamite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6264AF"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FBD804A"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EF7452"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4E34A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477DE1"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B500F3"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F22671"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B9B7C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CC61BA"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CDEFF8"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7BB6F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25F7B7" w14:textId="77777777" w:rsidR="00BC5284" w:rsidRPr="00BC5284" w:rsidRDefault="00BC5284">
            <w:pPr>
              <w:pStyle w:val="TableTextStocktake"/>
              <w:jc w:val="center"/>
            </w:pPr>
            <w:r w:rsidRPr="00BC5284">
              <w:t>Yes</w:t>
            </w:r>
          </w:p>
        </w:tc>
      </w:tr>
      <w:tr w:rsidR="00BC5284" w:rsidRPr="00BC5284" w14:paraId="54F028A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365FD6" w14:textId="77777777" w:rsidR="00BC5284" w:rsidRPr="00BC5284" w:rsidRDefault="00BC5284">
            <w:pPr>
              <w:pStyle w:val="TableTextStocktake"/>
            </w:pPr>
            <w:r w:rsidRPr="00BC5284">
              <w:t>East Gippsland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077612"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498EDE"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FABE15"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5AE088"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647E06"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4383FF"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2BA2FA"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184CC1"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454C6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8FC490"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7478F2"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508AF8" w14:textId="77777777" w:rsidR="00BC5284" w:rsidRPr="00BC5284" w:rsidRDefault="00BC5284">
            <w:pPr>
              <w:pStyle w:val="TableTextStocktake"/>
              <w:jc w:val="center"/>
            </w:pPr>
            <w:r w:rsidRPr="00BC5284">
              <w:t>No</w:t>
            </w:r>
          </w:p>
        </w:tc>
      </w:tr>
      <w:tr w:rsidR="00BC5284" w:rsidRPr="00BC5284" w14:paraId="40261B52"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538ED8" w14:textId="77777777" w:rsidR="00BC5284" w:rsidRPr="00BC5284" w:rsidRDefault="00BC5284">
            <w:pPr>
              <w:pStyle w:val="TableTextStocktake"/>
            </w:pPr>
            <w:r w:rsidRPr="00BC5284">
              <w:t>Glenelg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9BAC97"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38F892"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A4B91B"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5DFFE7"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2EF226"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0C5C3F"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3BA3F6"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0DBFAE"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7F293D"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5DD763"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1CBCB7"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80AAD3" w14:textId="77777777" w:rsidR="00BC5284" w:rsidRPr="00BC5284" w:rsidRDefault="00BC5284">
            <w:pPr>
              <w:pStyle w:val="TableTextStocktake"/>
              <w:jc w:val="center"/>
            </w:pPr>
            <w:r w:rsidRPr="00BC5284">
              <w:t>Yes</w:t>
            </w:r>
          </w:p>
        </w:tc>
      </w:tr>
      <w:tr w:rsidR="00BC5284" w:rsidRPr="00BC5284" w14:paraId="0E7B6058"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F2FB40" w14:textId="77777777" w:rsidR="00BC5284" w:rsidRPr="00BC5284" w:rsidRDefault="00BC5284">
            <w:pPr>
              <w:pStyle w:val="TableTextStocktake"/>
            </w:pPr>
            <w:r w:rsidRPr="00BC5284">
              <w:t>Golden Plains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9D78C0"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2E47ED"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8A1155"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C7D99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EF395C1"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C4D86B"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AF4968"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9FC7A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BB9708"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9DD251"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9A410C"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BE381D" w14:textId="77777777" w:rsidR="00BC5284" w:rsidRPr="00BC5284" w:rsidRDefault="00BC5284">
            <w:pPr>
              <w:pStyle w:val="TableTextStocktake"/>
              <w:jc w:val="center"/>
            </w:pPr>
            <w:r w:rsidRPr="00BC5284">
              <w:t>Yes</w:t>
            </w:r>
          </w:p>
        </w:tc>
      </w:tr>
      <w:tr w:rsidR="00BC5284" w:rsidRPr="00BC5284" w14:paraId="7C5F641E"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2BBF1A" w14:textId="77777777" w:rsidR="00BC5284" w:rsidRPr="00BC5284" w:rsidRDefault="00BC5284">
            <w:pPr>
              <w:pStyle w:val="TableTextStocktake"/>
            </w:pPr>
            <w:r w:rsidRPr="00BC5284">
              <w:t>Hepburn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4F0596"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962DB8"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64F112"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80F184"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BE34B7"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F90934"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E2D6A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507D96"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EEA595"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53008B"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48D646"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5105FB" w14:textId="77777777" w:rsidR="00BC5284" w:rsidRPr="00BC5284" w:rsidRDefault="00BC5284">
            <w:pPr>
              <w:pStyle w:val="TableTextStocktake"/>
              <w:jc w:val="center"/>
            </w:pPr>
            <w:r w:rsidRPr="00BC5284">
              <w:t>No</w:t>
            </w:r>
          </w:p>
        </w:tc>
      </w:tr>
      <w:tr w:rsidR="00BC5284" w:rsidRPr="00BC5284" w14:paraId="44E6FAA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90CF5A" w14:textId="77777777" w:rsidR="00BC5284" w:rsidRPr="00BC5284" w:rsidRDefault="00BC5284">
            <w:pPr>
              <w:pStyle w:val="TableTextStocktake"/>
            </w:pPr>
            <w:r w:rsidRPr="00BC5284">
              <w:t>Indigo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6FA4A9"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0CAFB4"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BD4ABB"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E8C691"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4169253"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F8587D"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67813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D3D6B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E21BBA"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4E8D34"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8BED8B"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24A552" w14:textId="77777777" w:rsidR="00BC5284" w:rsidRPr="00BC5284" w:rsidRDefault="00BC5284">
            <w:pPr>
              <w:pStyle w:val="TableTextStocktake"/>
              <w:jc w:val="center"/>
            </w:pPr>
            <w:r w:rsidRPr="00BC5284">
              <w:t>No</w:t>
            </w:r>
          </w:p>
        </w:tc>
      </w:tr>
      <w:tr w:rsidR="00BC5284" w:rsidRPr="00BC5284" w14:paraId="15535D97"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29C309" w14:textId="77777777" w:rsidR="00BC5284" w:rsidRPr="00BC5284" w:rsidRDefault="00BC5284">
            <w:pPr>
              <w:pStyle w:val="TableTextStocktake"/>
            </w:pPr>
            <w:r w:rsidRPr="00BC5284">
              <w:t>Macedon Ranges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2C143A"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B10B489"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EABFD6"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CE6D4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4406C7"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C4D809"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A09FA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1956A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1D48A9"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7963FE"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3FDF6FD"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0F94185" w14:textId="77777777" w:rsidR="00BC5284" w:rsidRPr="00BC5284" w:rsidRDefault="00BC5284">
            <w:pPr>
              <w:pStyle w:val="TableTextStocktake"/>
              <w:jc w:val="center"/>
            </w:pPr>
            <w:r w:rsidRPr="00BC5284">
              <w:t>No</w:t>
            </w:r>
          </w:p>
        </w:tc>
      </w:tr>
      <w:tr w:rsidR="00BC5284" w:rsidRPr="00BC5284" w14:paraId="43A75BC6"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3A2E44" w14:textId="77777777" w:rsidR="00BC5284" w:rsidRPr="00BC5284" w:rsidRDefault="00BC5284">
            <w:pPr>
              <w:pStyle w:val="TableTextStocktake"/>
            </w:pPr>
            <w:r w:rsidRPr="00BC5284">
              <w:t>Mitchell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0DBA52"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B1D0E7"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A80415"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B1957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C099A0"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D27853"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5EE2E5"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331D6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FB79FD"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83D7FE"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02197E"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98D81B" w14:textId="77777777" w:rsidR="00BC5284" w:rsidRPr="00BC5284" w:rsidRDefault="00BC5284">
            <w:pPr>
              <w:pStyle w:val="TableTextStocktake"/>
              <w:jc w:val="center"/>
            </w:pPr>
            <w:r w:rsidRPr="00BC5284">
              <w:t>No</w:t>
            </w:r>
          </w:p>
        </w:tc>
      </w:tr>
      <w:tr w:rsidR="00BC5284" w:rsidRPr="00BC5284" w14:paraId="461AD3BA"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789E37" w14:textId="77777777" w:rsidR="00BC5284" w:rsidRPr="00BC5284" w:rsidRDefault="00BC5284">
            <w:pPr>
              <w:pStyle w:val="TableTextStocktake"/>
            </w:pPr>
            <w:r w:rsidRPr="00BC5284">
              <w:t>Moira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5A4AF1"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F9EAC7"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B08500"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EB0707"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794999"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0932F3"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8F448E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E9CA6D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B994D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8FFD48"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F492B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AC5A8E" w14:textId="77777777" w:rsidR="00BC5284" w:rsidRPr="00BC5284" w:rsidRDefault="00BC5284">
            <w:pPr>
              <w:pStyle w:val="TableTextStocktake"/>
              <w:jc w:val="center"/>
            </w:pPr>
            <w:r w:rsidRPr="00BC5284">
              <w:t>Yes</w:t>
            </w:r>
          </w:p>
        </w:tc>
      </w:tr>
      <w:tr w:rsidR="00BC5284" w:rsidRPr="00BC5284" w14:paraId="04AC99E2"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394DC1" w14:textId="77777777" w:rsidR="00BC5284" w:rsidRPr="00BC5284" w:rsidRDefault="00BC5284">
            <w:pPr>
              <w:pStyle w:val="TableTextStocktake"/>
            </w:pPr>
            <w:r w:rsidRPr="00BC5284">
              <w:t>Moorabool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68AE05"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E8C58B"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EF232A"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24C88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2E3E81"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20DC1E"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CA92B1D"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E7C490"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6C97AA" w14:textId="77777777" w:rsidR="00BC5284" w:rsidRPr="00BC5284" w:rsidRDefault="00BC5284">
            <w:pPr>
              <w:pStyle w:val="TableTextStocktake"/>
              <w:jc w:val="center"/>
            </w:pPr>
            <w:r w:rsidRPr="00BC5284">
              <w:t>Yes</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F0315F2"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6DBFCE"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6401F9" w14:textId="77777777" w:rsidR="00BC5284" w:rsidRPr="00BC5284" w:rsidRDefault="00BC5284">
            <w:pPr>
              <w:pStyle w:val="TableTextStocktake"/>
              <w:jc w:val="center"/>
            </w:pPr>
            <w:r w:rsidRPr="00BC5284">
              <w:t>Yes</w:t>
            </w:r>
          </w:p>
        </w:tc>
      </w:tr>
      <w:tr w:rsidR="00BC5284" w:rsidRPr="00BC5284" w14:paraId="1B2E979F"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982035" w14:textId="77777777" w:rsidR="00BC5284" w:rsidRPr="00BC5284" w:rsidRDefault="00BC5284">
            <w:pPr>
              <w:pStyle w:val="TableTextStocktake"/>
            </w:pPr>
            <w:r w:rsidRPr="00BC5284">
              <w:t>Mount Alexander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18786F"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D0F271"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F1DB20"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70410E"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7C7540"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AAF6D0"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CB45E0"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44AB0B"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62AAD4"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4034B8"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336F68"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645B49B" w14:textId="77777777" w:rsidR="00BC5284" w:rsidRPr="00BC5284" w:rsidRDefault="00BC5284">
            <w:pPr>
              <w:pStyle w:val="TableTextStocktake"/>
              <w:jc w:val="center"/>
            </w:pPr>
            <w:r w:rsidRPr="00BC5284">
              <w:t>Yes</w:t>
            </w:r>
          </w:p>
        </w:tc>
      </w:tr>
      <w:tr w:rsidR="00BC5284" w:rsidRPr="00BC5284" w14:paraId="6213AAE9"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57B6528" w14:textId="77777777" w:rsidR="00BC5284" w:rsidRPr="00BC5284" w:rsidRDefault="00BC5284">
            <w:pPr>
              <w:pStyle w:val="TableTextStocktake"/>
            </w:pPr>
            <w:r w:rsidRPr="00BC5284">
              <w:t>Moyne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E4AACA"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78D981"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3D06B4"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36DCE4"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C4E4D4"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8B763A"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43676A"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E306E8"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F8CAB0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890C1A"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A1E08A"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2FF697" w14:textId="77777777" w:rsidR="00BC5284" w:rsidRPr="00BC5284" w:rsidRDefault="00BC5284">
            <w:pPr>
              <w:pStyle w:val="TableTextStocktake"/>
              <w:jc w:val="center"/>
            </w:pPr>
            <w:r w:rsidRPr="00BC5284">
              <w:t>Yes</w:t>
            </w:r>
          </w:p>
        </w:tc>
      </w:tr>
      <w:tr w:rsidR="00BC5284" w:rsidRPr="00BC5284" w14:paraId="68459921"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790A55C" w14:textId="77777777" w:rsidR="00BC5284" w:rsidRPr="00BC5284" w:rsidRDefault="00BC5284">
            <w:pPr>
              <w:pStyle w:val="TableTextStocktake"/>
            </w:pPr>
            <w:r w:rsidRPr="00BC5284">
              <w:t>South Gippsland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247670"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8E0937B"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86CBFF"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4CC83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A97989"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A86646"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683551"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D22C8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024706"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6B9C2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5352DF"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9F1DC2" w14:textId="77777777" w:rsidR="00BC5284" w:rsidRPr="00BC5284" w:rsidRDefault="00BC5284">
            <w:pPr>
              <w:pStyle w:val="TableTextStocktake"/>
              <w:jc w:val="center"/>
            </w:pPr>
            <w:r w:rsidRPr="00BC5284">
              <w:t>No</w:t>
            </w:r>
          </w:p>
        </w:tc>
      </w:tr>
      <w:tr w:rsidR="00BC5284" w:rsidRPr="00BC5284" w14:paraId="1EB5171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10785B" w14:textId="77777777" w:rsidR="00BC5284" w:rsidRPr="00BC5284" w:rsidRDefault="00BC5284">
            <w:pPr>
              <w:pStyle w:val="TableTextStocktake"/>
            </w:pPr>
            <w:r w:rsidRPr="00BC5284">
              <w:t>Southern Grampians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E60E13"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B6F8FF"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7B1F7D"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B73B18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6DC3C9"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FCC944"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5C207FA"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FB8C63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99990D"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917CD7"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6EF3FD"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92E703" w14:textId="77777777" w:rsidR="00BC5284" w:rsidRPr="00BC5284" w:rsidRDefault="00BC5284">
            <w:pPr>
              <w:pStyle w:val="TableTextStocktake"/>
              <w:jc w:val="center"/>
            </w:pPr>
            <w:r w:rsidRPr="00BC5284">
              <w:t>Yes</w:t>
            </w:r>
          </w:p>
        </w:tc>
      </w:tr>
      <w:tr w:rsidR="00BC5284" w:rsidRPr="00BC5284" w14:paraId="774A423B"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446FC8" w14:textId="77777777" w:rsidR="00BC5284" w:rsidRPr="00BC5284" w:rsidRDefault="00BC5284">
            <w:pPr>
              <w:pStyle w:val="TableTextStocktake"/>
            </w:pPr>
            <w:r w:rsidRPr="00BC5284">
              <w:t>Surf Coast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810C21"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1BB4696"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8FBCA3"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44926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B072EC"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E359FDA"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42390D"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936CC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C206CF"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8C033A"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647B3F"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D8FC0D" w14:textId="77777777" w:rsidR="00BC5284" w:rsidRPr="00BC5284" w:rsidRDefault="00BC5284">
            <w:pPr>
              <w:pStyle w:val="TableTextStocktake"/>
              <w:jc w:val="center"/>
            </w:pPr>
            <w:r w:rsidRPr="00BC5284">
              <w:t>Yes</w:t>
            </w:r>
          </w:p>
        </w:tc>
      </w:tr>
      <w:tr w:rsidR="00BC5284" w:rsidRPr="00BC5284" w14:paraId="4218ECDE"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76DBC485" w14:textId="77777777" w:rsidR="00BC5284" w:rsidRPr="00BC5284" w:rsidRDefault="00BC5284">
            <w:pPr>
              <w:pStyle w:val="TableTextStocktake"/>
            </w:pPr>
            <w:r w:rsidRPr="00BC5284">
              <w:t>Wellington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680F2284" w14:textId="77777777" w:rsidR="00BC5284" w:rsidRPr="00BC5284" w:rsidRDefault="00BC5284">
            <w:pPr>
              <w:pStyle w:val="TableTextStocktake"/>
            </w:pPr>
            <w:r w:rsidRPr="00BC5284">
              <w:t>Rural Large</w:t>
            </w:r>
          </w:p>
        </w:tc>
        <w:tc>
          <w:tcPr>
            <w:tcW w:w="62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7AC1A11" w14:textId="77777777" w:rsidR="00BC5284" w:rsidRPr="00BC5284" w:rsidRDefault="00BC5284">
            <w:pPr>
              <w:pStyle w:val="TableTextStocktake"/>
              <w:jc w:val="center"/>
            </w:pPr>
            <w:r w:rsidRPr="00BC5284">
              <w:t>Yes</w:t>
            </w:r>
          </w:p>
        </w:tc>
        <w:tc>
          <w:tcPr>
            <w:tcW w:w="60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070B82C"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F563A16"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39FF507C"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2BF6D81"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4D8BA2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969CD7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AFC5EFF"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ED50D6B"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E707EDD"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CBFB894" w14:textId="77777777" w:rsidR="00BC5284" w:rsidRPr="00BC5284" w:rsidRDefault="00BC5284">
            <w:pPr>
              <w:pStyle w:val="TableTextStocktake"/>
              <w:jc w:val="center"/>
            </w:pPr>
            <w:r w:rsidRPr="00BC5284">
              <w:t>Yes</w:t>
            </w:r>
          </w:p>
        </w:tc>
      </w:tr>
      <w:tr w:rsidR="00BC5284" w:rsidRPr="00BC5284" w14:paraId="0A1D17C2"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143D817" w14:textId="77777777" w:rsidR="00BC5284" w:rsidRPr="00BC5284" w:rsidRDefault="00BC5284">
            <w:pPr>
              <w:pStyle w:val="TableTextStocktake"/>
            </w:pPr>
            <w:r w:rsidRPr="00BC5284">
              <w:t>Alpine (S)</w:t>
            </w:r>
          </w:p>
        </w:tc>
        <w:tc>
          <w:tcPr>
            <w:tcW w:w="170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2C5C339" w14:textId="77777777" w:rsidR="00BC5284" w:rsidRPr="00BC5284" w:rsidRDefault="00BC5284">
            <w:pPr>
              <w:pStyle w:val="TableTextStocktake"/>
            </w:pPr>
            <w:r w:rsidRPr="00BC5284">
              <w:t>Rural Small</w:t>
            </w:r>
          </w:p>
        </w:tc>
        <w:tc>
          <w:tcPr>
            <w:tcW w:w="620"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7DF2584" w14:textId="77777777" w:rsidR="00BC5284" w:rsidRPr="00BC5284" w:rsidRDefault="00BC5284">
            <w:pPr>
              <w:pStyle w:val="TableTextStocktake"/>
              <w:jc w:val="center"/>
            </w:pPr>
            <w:r w:rsidRPr="00BC5284">
              <w:t>No</w:t>
            </w:r>
          </w:p>
        </w:tc>
        <w:tc>
          <w:tcPr>
            <w:tcW w:w="60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6AF218D" w14:textId="77777777" w:rsidR="00BC5284" w:rsidRPr="00BC5284" w:rsidRDefault="00BC5284">
            <w:pPr>
              <w:pStyle w:val="TableTextStocktake"/>
              <w:jc w:val="center"/>
            </w:pPr>
            <w:r w:rsidRPr="00BC5284">
              <w:t>Yes</w:t>
            </w:r>
          </w:p>
        </w:tc>
        <w:tc>
          <w:tcPr>
            <w:tcW w:w="556"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7A70DF1"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ECEA9CC" w14:textId="77777777" w:rsidR="00BC5284" w:rsidRPr="00BC5284" w:rsidRDefault="00BC5284">
            <w:pPr>
              <w:pStyle w:val="TableTextStocktake"/>
              <w:jc w:val="center"/>
            </w:pPr>
            <w:r w:rsidRPr="00BC5284">
              <w:t>Yes</w:t>
            </w:r>
          </w:p>
        </w:tc>
        <w:tc>
          <w:tcPr>
            <w:tcW w:w="64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954C961" w14:textId="77777777" w:rsidR="00BC5284" w:rsidRPr="00BC5284" w:rsidRDefault="00BC5284">
            <w:pPr>
              <w:pStyle w:val="TableTextStocktake"/>
              <w:jc w:val="center"/>
            </w:pPr>
            <w:r w:rsidRPr="00BC5284">
              <w:t>No</w:t>
            </w:r>
          </w:p>
        </w:tc>
        <w:tc>
          <w:tcPr>
            <w:tcW w:w="5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4BE7903" w14:textId="77777777" w:rsidR="00BC5284" w:rsidRPr="00BC5284" w:rsidRDefault="00BC5284">
            <w:pPr>
              <w:pStyle w:val="TableTextStocktake"/>
              <w:jc w:val="center"/>
            </w:pPr>
            <w:r w:rsidRPr="00BC5284">
              <w:t>Yes</w:t>
            </w:r>
          </w:p>
        </w:tc>
        <w:tc>
          <w:tcPr>
            <w:tcW w:w="47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A353BC9" w14:textId="77777777" w:rsidR="00BC5284" w:rsidRPr="00BC5284" w:rsidRDefault="00BC5284">
            <w:pPr>
              <w:pStyle w:val="TableTextStocktake"/>
              <w:jc w:val="center"/>
            </w:pPr>
            <w:r w:rsidRPr="00BC5284">
              <w:t>No</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74363BD" w14:textId="77777777" w:rsidR="00BC5284" w:rsidRPr="00BC5284" w:rsidRDefault="00BC5284">
            <w:pPr>
              <w:pStyle w:val="TableTextStocktake"/>
              <w:jc w:val="center"/>
            </w:pPr>
            <w:r w:rsidRPr="00BC5284">
              <w:t>No</w:t>
            </w:r>
          </w:p>
        </w:tc>
        <w:tc>
          <w:tcPr>
            <w:tcW w:w="8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7F561BB4" w14:textId="77777777" w:rsidR="00BC5284" w:rsidRPr="00BC5284" w:rsidRDefault="00BC5284">
            <w:pPr>
              <w:pStyle w:val="TableTextStocktake"/>
              <w:jc w:val="center"/>
            </w:pPr>
            <w:r w:rsidRPr="00BC5284">
              <w:t>No</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2571C4A0" w14:textId="77777777" w:rsidR="00BC5284" w:rsidRPr="00BC5284" w:rsidRDefault="00BC5284">
            <w:pPr>
              <w:pStyle w:val="TableTextStocktake"/>
              <w:jc w:val="center"/>
            </w:pPr>
            <w:r w:rsidRPr="00BC5284">
              <w:t>No</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890E7E6" w14:textId="77777777" w:rsidR="00BC5284" w:rsidRPr="00BC5284" w:rsidRDefault="00BC5284">
            <w:pPr>
              <w:pStyle w:val="TableTextStocktake"/>
              <w:jc w:val="center"/>
            </w:pPr>
            <w:r w:rsidRPr="00BC5284">
              <w:t>Yes</w:t>
            </w:r>
          </w:p>
        </w:tc>
      </w:tr>
      <w:tr w:rsidR="00BC5284" w:rsidRPr="00BC5284" w14:paraId="3EF99E04"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251F9B" w14:textId="77777777" w:rsidR="00BC5284" w:rsidRPr="00BC5284" w:rsidRDefault="00BC5284">
            <w:pPr>
              <w:pStyle w:val="TableTextStocktake"/>
            </w:pPr>
            <w:r w:rsidRPr="00BC5284">
              <w:t>Buloke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3A44A4"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681E6C"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363DCB8"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173D43"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95F295"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87FD4B"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0D04CF"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7E3584"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0D7EB42"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6928CE"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4F3AFB"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96885A" w14:textId="77777777" w:rsidR="00BC5284" w:rsidRPr="00BC5284" w:rsidRDefault="00BC5284">
            <w:pPr>
              <w:pStyle w:val="TableTextStocktake"/>
              <w:jc w:val="center"/>
            </w:pPr>
            <w:r w:rsidRPr="00BC5284">
              <w:t>Yes</w:t>
            </w:r>
          </w:p>
        </w:tc>
      </w:tr>
      <w:tr w:rsidR="00BC5284" w:rsidRPr="00BC5284" w14:paraId="695F4CA0"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2FD793" w14:textId="77777777" w:rsidR="00BC5284" w:rsidRPr="00BC5284" w:rsidRDefault="00BC5284">
            <w:pPr>
              <w:pStyle w:val="TableTextStocktake"/>
            </w:pPr>
            <w:r w:rsidRPr="00BC5284">
              <w:t>Central Goldfields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6DC6E5"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D740447"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6D4DD67"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F3E887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D053097"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B25ED05"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029C54"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340F3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39975C"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709C75"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2F0DE6"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34D86B" w14:textId="77777777" w:rsidR="00BC5284" w:rsidRPr="00BC5284" w:rsidRDefault="00BC5284">
            <w:pPr>
              <w:pStyle w:val="TableTextStocktake"/>
              <w:jc w:val="center"/>
            </w:pPr>
            <w:r w:rsidRPr="00BC5284">
              <w:t>Yes</w:t>
            </w:r>
          </w:p>
        </w:tc>
      </w:tr>
      <w:tr w:rsidR="00BC5284" w:rsidRPr="00BC5284" w14:paraId="753137F2"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0B791C" w14:textId="77777777" w:rsidR="00BC5284" w:rsidRPr="00BC5284" w:rsidRDefault="00BC5284">
            <w:pPr>
              <w:pStyle w:val="TableTextStocktake"/>
            </w:pPr>
            <w:r w:rsidRPr="00BC5284">
              <w:t>Gannawarra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31D8A0"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504779"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D29C29"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BDBB5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C9FA44"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92B281"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D6FAB9"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5D485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AD6090"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5E532D"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A9972C"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196B2C" w14:textId="77777777" w:rsidR="00BC5284" w:rsidRPr="00BC5284" w:rsidRDefault="00BC5284">
            <w:pPr>
              <w:pStyle w:val="TableTextStocktake"/>
              <w:jc w:val="center"/>
            </w:pPr>
            <w:r w:rsidRPr="00BC5284">
              <w:t>Yes</w:t>
            </w:r>
          </w:p>
        </w:tc>
      </w:tr>
      <w:tr w:rsidR="00BC5284" w:rsidRPr="00BC5284" w14:paraId="19706C5B"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3C2B42" w14:textId="77777777" w:rsidR="00BC5284" w:rsidRPr="00BC5284" w:rsidRDefault="00BC5284">
            <w:pPr>
              <w:pStyle w:val="TableTextStocktake"/>
            </w:pPr>
            <w:r w:rsidRPr="00BC5284">
              <w:t>Hindmarsh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B5475FE"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3F6438"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F4951B"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0901B4"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932883"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86066E"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B15F77"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A7FFDE"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0FC4DC"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000443"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0B05E19"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16C42B" w14:textId="77777777" w:rsidR="00BC5284" w:rsidRPr="00BC5284" w:rsidRDefault="00BC5284">
            <w:pPr>
              <w:pStyle w:val="TableTextStocktake"/>
              <w:jc w:val="center"/>
            </w:pPr>
            <w:r w:rsidRPr="00BC5284">
              <w:t>No</w:t>
            </w:r>
          </w:p>
        </w:tc>
      </w:tr>
      <w:tr w:rsidR="00BC5284" w:rsidRPr="00BC5284" w14:paraId="136427F3"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F9A485" w14:textId="77777777" w:rsidR="00BC5284" w:rsidRPr="00BC5284" w:rsidRDefault="00BC5284">
            <w:pPr>
              <w:pStyle w:val="TableTextStocktake"/>
            </w:pPr>
            <w:r w:rsidRPr="00BC5284">
              <w:t>Loddon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294467"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320534"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7FE5104"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76D7F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485D46"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2F1CE7"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748590"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34AF44"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34A842"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27BCAC"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C7E0460"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7AB450" w14:textId="77777777" w:rsidR="00BC5284" w:rsidRPr="00BC5284" w:rsidRDefault="00BC5284">
            <w:pPr>
              <w:pStyle w:val="TableTextStocktake"/>
              <w:jc w:val="center"/>
            </w:pPr>
            <w:r w:rsidRPr="00BC5284">
              <w:t>No</w:t>
            </w:r>
          </w:p>
        </w:tc>
      </w:tr>
      <w:tr w:rsidR="00BC5284" w:rsidRPr="00BC5284" w14:paraId="34CD93A3"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45D4250" w14:textId="77777777" w:rsidR="00BC5284" w:rsidRPr="00BC5284" w:rsidRDefault="00BC5284">
            <w:pPr>
              <w:pStyle w:val="TableTextStocktake"/>
            </w:pPr>
            <w:r w:rsidRPr="00BC5284">
              <w:t>Mansfield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C5B0E9"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2096D0"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4467DEF"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F5A018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F991BB"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5865D0"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469CDB"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FC2B30"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11C207"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4D6E78"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93C8F7"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915743" w14:textId="77777777" w:rsidR="00BC5284" w:rsidRPr="00BC5284" w:rsidRDefault="00BC5284">
            <w:pPr>
              <w:pStyle w:val="TableTextStocktake"/>
              <w:jc w:val="center"/>
            </w:pPr>
            <w:r w:rsidRPr="00BC5284">
              <w:t>No</w:t>
            </w:r>
          </w:p>
        </w:tc>
      </w:tr>
      <w:tr w:rsidR="00BC5284" w:rsidRPr="00BC5284" w14:paraId="2319D63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A5AD27" w14:textId="77777777" w:rsidR="00BC5284" w:rsidRPr="00BC5284" w:rsidRDefault="00BC5284">
            <w:pPr>
              <w:pStyle w:val="TableTextStocktake"/>
            </w:pPr>
            <w:r w:rsidRPr="00BC5284">
              <w:t>Murrindindi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7F0A24F"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8F952E"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05ACF71"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D4F1B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2493D16"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B965E9"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9876B39"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29196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C1AC36"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F87B3F"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9CDB74"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9BDA7E" w14:textId="77777777" w:rsidR="00BC5284" w:rsidRPr="00BC5284" w:rsidRDefault="00BC5284">
            <w:pPr>
              <w:pStyle w:val="TableTextStocktake"/>
              <w:jc w:val="center"/>
            </w:pPr>
            <w:r w:rsidRPr="00BC5284">
              <w:t>Yes</w:t>
            </w:r>
          </w:p>
        </w:tc>
      </w:tr>
      <w:tr w:rsidR="00BC5284" w:rsidRPr="00BC5284" w14:paraId="72AA5E3E"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3C9A0F" w14:textId="77777777" w:rsidR="00BC5284" w:rsidRPr="00BC5284" w:rsidRDefault="00BC5284">
            <w:pPr>
              <w:pStyle w:val="TableTextStocktake"/>
            </w:pPr>
            <w:r w:rsidRPr="00BC5284">
              <w:t>Northern Grampians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EEF841"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6B6C867"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D32FBBF"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F0B09F"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B47C42"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0FC82B"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7EEB71"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1B3560"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0DB9039"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38A735"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73878E"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240A42" w14:textId="77777777" w:rsidR="00BC5284" w:rsidRPr="00BC5284" w:rsidRDefault="00BC5284">
            <w:pPr>
              <w:pStyle w:val="TableTextStocktake"/>
              <w:jc w:val="center"/>
            </w:pPr>
            <w:r w:rsidRPr="00BC5284">
              <w:t>No</w:t>
            </w:r>
          </w:p>
        </w:tc>
      </w:tr>
      <w:tr w:rsidR="00BC5284" w:rsidRPr="00BC5284" w14:paraId="1796AF6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EE6052" w14:textId="77777777" w:rsidR="00BC5284" w:rsidRPr="00BC5284" w:rsidRDefault="00BC5284">
            <w:pPr>
              <w:pStyle w:val="TableTextStocktake"/>
            </w:pPr>
            <w:r w:rsidRPr="00BC5284">
              <w:t>Pyrenees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F1DD91"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CCDCADB"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EC22D4"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700EED0"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D68C8F"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6DB327A"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2C34B4"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EEDB0C"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A56265C"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60A90CE"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E621290"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6F1573" w14:textId="77777777" w:rsidR="00BC5284" w:rsidRPr="00BC5284" w:rsidRDefault="00BC5284">
            <w:pPr>
              <w:pStyle w:val="TableTextStocktake"/>
              <w:jc w:val="center"/>
            </w:pPr>
            <w:r w:rsidRPr="00BC5284">
              <w:t>No</w:t>
            </w:r>
          </w:p>
        </w:tc>
      </w:tr>
      <w:tr w:rsidR="00BC5284" w:rsidRPr="00BC5284" w14:paraId="320C1409"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D4A97D" w14:textId="77777777" w:rsidR="00BC5284" w:rsidRPr="00BC5284" w:rsidRDefault="00BC5284">
            <w:pPr>
              <w:pStyle w:val="TableTextStocktake"/>
            </w:pPr>
            <w:r w:rsidRPr="00BC5284">
              <w:t>Queenscliffe (B)</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B76DF6D"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A662939"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483443"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09F642"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392F00"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CCD191" w14:textId="77777777" w:rsidR="00BC5284" w:rsidRPr="00BC5284" w:rsidRDefault="00BC5284">
            <w:pPr>
              <w:pStyle w:val="TableTextStocktake"/>
              <w:jc w:val="center"/>
            </w:pPr>
            <w:r w:rsidRPr="00BC5284">
              <w:t>Yes</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9074DA"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EDFAC7B"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5E8C9FE"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99F0E9"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2BBFA1A"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76A106" w14:textId="77777777" w:rsidR="00BC5284" w:rsidRPr="00BC5284" w:rsidRDefault="00BC5284">
            <w:pPr>
              <w:pStyle w:val="TableTextStocktake"/>
              <w:jc w:val="center"/>
            </w:pPr>
            <w:r w:rsidRPr="00BC5284">
              <w:t>Yes</w:t>
            </w:r>
          </w:p>
        </w:tc>
      </w:tr>
      <w:tr w:rsidR="00BC5284" w:rsidRPr="00BC5284" w14:paraId="383FF9F5"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469613C" w14:textId="77777777" w:rsidR="00BC5284" w:rsidRPr="00BC5284" w:rsidRDefault="00BC5284">
            <w:pPr>
              <w:pStyle w:val="TableTextStocktake"/>
            </w:pPr>
            <w:r w:rsidRPr="00BC5284">
              <w:t>Strathbogie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C3E49C"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B25F5C9"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A52F3F0"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B6528D0"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DB793F"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8C73CE1"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775927" w14:textId="77777777" w:rsidR="00BC5284" w:rsidRPr="00BC5284" w:rsidRDefault="00BC5284">
            <w:pPr>
              <w:pStyle w:val="TableTextStocktake"/>
              <w:jc w:val="center"/>
            </w:pPr>
            <w:r w:rsidRPr="00BC5284">
              <w:t>Yes</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A43011"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CD4E29B"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061366"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A2307A6"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E92BBF" w14:textId="77777777" w:rsidR="00BC5284" w:rsidRPr="00BC5284" w:rsidRDefault="00BC5284">
            <w:pPr>
              <w:pStyle w:val="TableTextStocktake"/>
              <w:jc w:val="center"/>
            </w:pPr>
            <w:r w:rsidRPr="00BC5284">
              <w:t>Yes</w:t>
            </w:r>
          </w:p>
        </w:tc>
      </w:tr>
      <w:tr w:rsidR="00BC5284" w:rsidRPr="00BC5284" w14:paraId="06346DD2"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64EEFE" w14:textId="77777777" w:rsidR="00BC5284" w:rsidRPr="00BC5284" w:rsidRDefault="00BC5284">
            <w:pPr>
              <w:pStyle w:val="TableTextStocktake"/>
            </w:pPr>
            <w:r w:rsidRPr="00BC5284">
              <w:t>Towong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314897"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DBA72D0"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D38AF9"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28772F5"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1520EA0" w14:textId="77777777" w:rsidR="00BC5284" w:rsidRPr="00BC5284" w:rsidRDefault="00BC5284">
            <w:pPr>
              <w:pStyle w:val="TableTextStocktake"/>
              <w:jc w:val="center"/>
            </w:pPr>
            <w:r w:rsidRPr="00BC5284">
              <w:t>Yes</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407E013"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D2C0B79"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DC1013E"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596AA8"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15DA5A4"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A87305"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9517CFB" w14:textId="77777777" w:rsidR="00BC5284" w:rsidRPr="00BC5284" w:rsidRDefault="00BC5284">
            <w:pPr>
              <w:pStyle w:val="TableTextStocktake"/>
              <w:jc w:val="center"/>
            </w:pPr>
            <w:r w:rsidRPr="00BC5284">
              <w:t>Yes</w:t>
            </w:r>
          </w:p>
        </w:tc>
      </w:tr>
      <w:tr w:rsidR="00BC5284" w:rsidRPr="00BC5284" w14:paraId="1622BD60"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465D374" w14:textId="77777777" w:rsidR="00BC5284" w:rsidRPr="00BC5284" w:rsidRDefault="00BC5284">
            <w:pPr>
              <w:pStyle w:val="TableTextStocktake"/>
            </w:pPr>
            <w:r w:rsidRPr="00BC5284">
              <w:t>West Wimmera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6DCB86"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C25D156"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DC9B3E"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3C92E8" w14:textId="77777777" w:rsidR="00BC5284" w:rsidRPr="00BC5284" w:rsidRDefault="00BC5284">
            <w:pPr>
              <w:pStyle w:val="TableTextStocktake"/>
              <w:jc w:val="center"/>
            </w:pPr>
            <w:r w:rsidRPr="00BC5284">
              <w:t>Yes</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9DCB203"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2A5EDDE"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A309C9"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3BB16F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B6D15B6"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2E6F45C"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1393009"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F48F1A" w14:textId="77777777" w:rsidR="00BC5284" w:rsidRPr="00BC5284" w:rsidRDefault="00BC5284">
            <w:pPr>
              <w:pStyle w:val="TableTextStocktake"/>
              <w:jc w:val="center"/>
            </w:pPr>
            <w:r w:rsidRPr="00BC5284">
              <w:t>No</w:t>
            </w:r>
          </w:p>
        </w:tc>
      </w:tr>
      <w:tr w:rsidR="00BC5284" w:rsidRPr="00BC5284" w14:paraId="7BD2AEAB"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4DC7D90D" w14:textId="77777777" w:rsidR="00BC5284" w:rsidRPr="00BC5284" w:rsidRDefault="00BC5284">
            <w:pPr>
              <w:pStyle w:val="TableTextStocktake"/>
            </w:pPr>
            <w:r w:rsidRPr="00BC5284">
              <w:lastRenderedPageBreak/>
              <w:t>Yarriambiack (S)</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113" w:type="dxa"/>
              <w:right w:w="80" w:type="dxa"/>
            </w:tcMar>
          </w:tcPr>
          <w:p w14:paraId="06DEA503" w14:textId="77777777" w:rsidR="00BC5284" w:rsidRPr="00BC5284" w:rsidRDefault="00BC5284">
            <w:pPr>
              <w:pStyle w:val="TableTextStocktake"/>
            </w:pPr>
            <w:r w:rsidRPr="00BC5284">
              <w:t>Rural Small</w:t>
            </w:r>
          </w:p>
        </w:tc>
        <w:tc>
          <w:tcPr>
            <w:tcW w:w="62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66D1D0A"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2FFBDE8" w14:textId="77777777" w:rsidR="00BC5284" w:rsidRPr="00BC5284" w:rsidRDefault="00BC5284">
            <w:pPr>
              <w:pStyle w:val="TableTextStocktake"/>
              <w:jc w:val="center"/>
            </w:pPr>
            <w:r w:rsidRPr="00BC5284">
              <w:t>No</w:t>
            </w:r>
          </w:p>
        </w:tc>
        <w:tc>
          <w:tcPr>
            <w:tcW w:w="55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8254CBD"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9FDD83B"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A5D4D04"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0860566B"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72DFF0AE"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4212AB1"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76F75EE" w14:textId="77777777" w:rsidR="00BC5284" w:rsidRPr="00BC5284" w:rsidRDefault="00BC5284">
            <w:pPr>
              <w:pStyle w:val="TableTextStocktake"/>
              <w:jc w:val="center"/>
            </w:pPr>
            <w:r w:rsidRPr="00BC5284">
              <w:t>Yes</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A0C1D0D" w14:textId="77777777" w:rsidR="00BC5284" w:rsidRPr="00BC5284" w:rsidRDefault="00BC5284">
            <w:pPr>
              <w:pStyle w:val="TableTextStocktake"/>
              <w:jc w:val="center"/>
            </w:pPr>
            <w:r w:rsidRPr="00BC5284">
              <w:t>No</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DC363A5" w14:textId="77777777" w:rsidR="00BC5284" w:rsidRPr="00BC5284" w:rsidRDefault="00BC5284">
            <w:pPr>
              <w:pStyle w:val="TableTextStocktake"/>
              <w:jc w:val="center"/>
            </w:pPr>
            <w:r w:rsidRPr="00BC5284">
              <w:t>No</w:t>
            </w:r>
          </w:p>
        </w:tc>
      </w:tr>
      <w:tr w:rsidR="00BC5284" w:rsidRPr="00BC5284" w14:paraId="24C9613C"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C83CE88" w14:textId="77777777" w:rsidR="00BC5284" w:rsidRPr="00BC5284" w:rsidRDefault="00BC5284">
            <w:pPr>
              <w:pStyle w:val="TableTextStocktake"/>
            </w:pPr>
            <w:r w:rsidRPr="00BC5284">
              <w:t>Alpine Resorts</w:t>
            </w:r>
          </w:p>
        </w:tc>
        <w:tc>
          <w:tcPr>
            <w:tcW w:w="1700" w:type="dxa"/>
            <w:tcBorders>
              <w:top w:val="single" w:sz="2"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7970D59" w14:textId="77777777" w:rsidR="00BC5284" w:rsidRPr="00BC5284" w:rsidRDefault="00BC5284">
            <w:pPr>
              <w:pStyle w:val="TableTextStocktake"/>
            </w:pPr>
            <w:r w:rsidRPr="00BC5284">
              <w:t>Non-LGA</w:t>
            </w:r>
          </w:p>
        </w:tc>
        <w:tc>
          <w:tcPr>
            <w:tcW w:w="620"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08E7F64A" w14:textId="77777777" w:rsidR="00BC5284" w:rsidRPr="00BC5284" w:rsidRDefault="00BC5284">
            <w:pPr>
              <w:pStyle w:val="TableTextStocktake"/>
              <w:jc w:val="center"/>
            </w:pPr>
            <w:r w:rsidRPr="00BC5284">
              <w:t>-</w:t>
            </w:r>
          </w:p>
        </w:tc>
        <w:tc>
          <w:tcPr>
            <w:tcW w:w="60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5E01806" w14:textId="77777777" w:rsidR="00BC5284" w:rsidRPr="00BC5284" w:rsidRDefault="00BC5284">
            <w:pPr>
              <w:pStyle w:val="TableTextStocktake"/>
              <w:jc w:val="center"/>
            </w:pPr>
            <w:r w:rsidRPr="00BC5284">
              <w:t>-</w:t>
            </w:r>
          </w:p>
        </w:tc>
        <w:tc>
          <w:tcPr>
            <w:tcW w:w="556"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1067F49" w14:textId="77777777" w:rsidR="00BC5284" w:rsidRPr="00BC5284" w:rsidRDefault="00BC5284">
            <w:pPr>
              <w:pStyle w:val="TableTextStocktake"/>
              <w:jc w:val="center"/>
            </w:pPr>
            <w:r w:rsidRPr="00BC5284">
              <w:t>-</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314DFCF2" w14:textId="77777777" w:rsidR="00BC5284" w:rsidRPr="00BC5284" w:rsidRDefault="00BC5284">
            <w:pPr>
              <w:pStyle w:val="TableTextStocktake"/>
              <w:jc w:val="center"/>
            </w:pPr>
            <w:r w:rsidRPr="00BC5284">
              <w:t>-</w:t>
            </w:r>
          </w:p>
        </w:tc>
        <w:tc>
          <w:tcPr>
            <w:tcW w:w="64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7ED9932" w14:textId="77777777" w:rsidR="00BC5284" w:rsidRPr="00BC5284" w:rsidRDefault="00BC5284">
            <w:pPr>
              <w:pStyle w:val="TableTextStocktake"/>
              <w:jc w:val="center"/>
            </w:pPr>
            <w:r w:rsidRPr="00BC5284">
              <w:t>-</w:t>
            </w:r>
          </w:p>
        </w:tc>
        <w:tc>
          <w:tcPr>
            <w:tcW w:w="567"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11ADF5F" w14:textId="77777777" w:rsidR="00BC5284" w:rsidRPr="00BC5284" w:rsidRDefault="00BC5284">
            <w:pPr>
              <w:pStyle w:val="TableTextStocktake"/>
              <w:jc w:val="center"/>
            </w:pPr>
            <w:r w:rsidRPr="00BC5284">
              <w:t>-</w:t>
            </w:r>
          </w:p>
        </w:tc>
        <w:tc>
          <w:tcPr>
            <w:tcW w:w="478"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EF7E892" w14:textId="77777777" w:rsidR="00BC5284" w:rsidRPr="00BC5284" w:rsidRDefault="00BC5284">
            <w:pPr>
              <w:pStyle w:val="TableTextStocktake"/>
              <w:jc w:val="center"/>
            </w:pPr>
            <w:r w:rsidRPr="00BC5284">
              <w:t>-</w:t>
            </w:r>
          </w:p>
        </w:tc>
        <w:tc>
          <w:tcPr>
            <w:tcW w:w="555"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17A21790" w14:textId="77777777" w:rsidR="00BC5284" w:rsidRPr="00BC5284" w:rsidRDefault="00BC5284">
            <w:pPr>
              <w:pStyle w:val="TableTextStocktake"/>
              <w:jc w:val="center"/>
            </w:pPr>
            <w:r w:rsidRPr="00BC5284">
              <w:t>-</w:t>
            </w:r>
          </w:p>
        </w:tc>
        <w:tc>
          <w:tcPr>
            <w:tcW w:w="8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406E9FB7" w14:textId="77777777" w:rsidR="00BC5284" w:rsidRPr="00BC5284" w:rsidRDefault="00BC5284">
            <w:pPr>
              <w:pStyle w:val="TableTextStocktake"/>
              <w:jc w:val="center"/>
            </w:pPr>
            <w:r w:rsidRPr="00BC5284">
              <w:t>-</w:t>
            </w:r>
          </w:p>
        </w:tc>
        <w:tc>
          <w:tcPr>
            <w:tcW w:w="851"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6EF2165B" w14:textId="77777777" w:rsidR="00BC5284" w:rsidRPr="00BC5284" w:rsidRDefault="00BC5284">
            <w:pPr>
              <w:pStyle w:val="TableTextStocktake"/>
              <w:jc w:val="center"/>
            </w:pPr>
            <w:r w:rsidRPr="00BC5284">
              <w:t>-</w:t>
            </w:r>
          </w:p>
        </w:tc>
        <w:tc>
          <w:tcPr>
            <w:tcW w:w="709" w:type="dxa"/>
            <w:tcBorders>
              <w:top w:val="single" w:sz="4" w:space="0" w:color="000000"/>
              <w:left w:val="single" w:sz="6" w:space="0" w:color="000000"/>
              <w:bottom w:val="single" w:sz="2" w:space="0" w:color="000000"/>
              <w:right w:val="single" w:sz="6" w:space="0" w:color="000000"/>
            </w:tcBorders>
            <w:tcMar>
              <w:top w:w="170" w:type="dxa"/>
              <w:left w:w="80" w:type="dxa"/>
              <w:bottom w:w="57" w:type="dxa"/>
              <w:right w:w="80" w:type="dxa"/>
            </w:tcMar>
          </w:tcPr>
          <w:p w14:paraId="585089F5" w14:textId="77777777" w:rsidR="00BC5284" w:rsidRPr="00BC5284" w:rsidRDefault="00BC5284">
            <w:pPr>
              <w:pStyle w:val="TableTextStocktake"/>
              <w:jc w:val="center"/>
            </w:pPr>
            <w:r w:rsidRPr="00BC5284">
              <w:t>-</w:t>
            </w:r>
          </w:p>
        </w:tc>
      </w:tr>
      <w:tr w:rsidR="00BC5284" w:rsidRPr="00BC5284" w14:paraId="18EDADC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CA3FD7B" w14:textId="77777777" w:rsidR="00BC5284" w:rsidRPr="00BC5284" w:rsidRDefault="00BC5284">
            <w:pPr>
              <w:pStyle w:val="TableTextStocktake"/>
            </w:pPr>
            <w:r w:rsidRPr="00BC5284">
              <w:t xml:space="preserve">   Falls Creek (ARMB)</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404ADA" w14:textId="77777777" w:rsidR="00BC5284" w:rsidRPr="00BC5284" w:rsidRDefault="00BC5284">
            <w:pPr>
              <w:pStyle w:val="TableTextStocktake"/>
            </w:pPr>
            <w:r w:rsidRPr="00BC5284">
              <w:t>Non-LGA</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F8447A4" w14:textId="77777777" w:rsidR="00BC5284" w:rsidRPr="00BC5284" w:rsidRDefault="00BC5284">
            <w:pPr>
              <w:pStyle w:val="TableTextStocktake"/>
              <w:jc w:val="center"/>
            </w:pPr>
            <w:r w:rsidRPr="00BC5284">
              <w:t>-</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BD2C22" w14:textId="77777777" w:rsidR="00BC5284" w:rsidRPr="00BC5284" w:rsidRDefault="00BC5284">
            <w:pPr>
              <w:pStyle w:val="TableTextStocktake"/>
              <w:jc w:val="center"/>
            </w:pPr>
            <w:r w:rsidRPr="00BC5284">
              <w:t>-</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52C7C0"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6C601D2" w14:textId="77777777" w:rsidR="00BC5284" w:rsidRPr="00BC5284" w:rsidRDefault="00BC5284">
            <w:pPr>
              <w:pStyle w:val="TableTextStocktake"/>
              <w:jc w:val="center"/>
            </w:pPr>
            <w:r w:rsidRPr="00BC5284">
              <w:t>-</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40980E" w14:textId="77777777" w:rsidR="00BC5284" w:rsidRPr="00BC5284" w:rsidRDefault="00BC5284">
            <w:pPr>
              <w:pStyle w:val="TableTextStocktake"/>
              <w:jc w:val="center"/>
            </w:pPr>
            <w:r w:rsidRPr="00BC5284">
              <w:t>-</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15FE7E" w14:textId="77777777" w:rsidR="00BC5284" w:rsidRPr="00BC5284" w:rsidRDefault="00BC5284">
            <w:pPr>
              <w:pStyle w:val="TableTextStocktake"/>
              <w:jc w:val="center"/>
            </w:pPr>
            <w:r w:rsidRPr="00BC5284">
              <w:t>-</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D10475"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5A4F0CB" w14:textId="77777777" w:rsidR="00BC5284" w:rsidRPr="00BC5284" w:rsidRDefault="00BC5284">
            <w:pPr>
              <w:pStyle w:val="TableTextStocktake"/>
              <w:jc w:val="center"/>
            </w:pPr>
            <w:r w:rsidRPr="00BC5284">
              <w:t>-</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3B671FE" w14:textId="77777777" w:rsidR="00BC5284" w:rsidRPr="00BC5284" w:rsidRDefault="00BC5284">
            <w:pPr>
              <w:pStyle w:val="TableTextStocktake"/>
              <w:jc w:val="center"/>
            </w:pPr>
            <w:r w:rsidRPr="00BC5284">
              <w:t>-</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3FD35F" w14:textId="77777777" w:rsidR="00BC5284" w:rsidRPr="00BC5284" w:rsidRDefault="00BC5284">
            <w:pPr>
              <w:pStyle w:val="TableTextStocktake"/>
              <w:jc w:val="center"/>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09CC2E6" w14:textId="77777777" w:rsidR="00BC5284" w:rsidRPr="00BC5284" w:rsidRDefault="00BC5284">
            <w:pPr>
              <w:pStyle w:val="TableTextStocktake"/>
              <w:jc w:val="center"/>
            </w:pPr>
            <w:r w:rsidRPr="00BC5284">
              <w:t>-</w:t>
            </w:r>
          </w:p>
        </w:tc>
      </w:tr>
      <w:tr w:rsidR="00BC5284" w:rsidRPr="00BC5284" w14:paraId="42985E8D"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1314672" w14:textId="77777777" w:rsidR="00BC5284" w:rsidRPr="00BC5284" w:rsidRDefault="00BC5284">
            <w:pPr>
              <w:pStyle w:val="TableTextStocktake"/>
            </w:pPr>
            <w:r w:rsidRPr="00BC5284">
              <w:t xml:space="preserve">   Mt Buller &amp; Mt Stirling </w:t>
            </w:r>
            <w:r w:rsidRPr="00BC5284">
              <w:br/>
              <w:t xml:space="preserve">   (ARMB)</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6878DE" w14:textId="77777777" w:rsidR="00BC5284" w:rsidRPr="00BC5284" w:rsidRDefault="00BC5284">
            <w:pPr>
              <w:pStyle w:val="TableTextStocktake"/>
            </w:pPr>
            <w:r w:rsidRPr="00BC5284">
              <w:t>Non-LGA / Rural Small</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4F198AA" w14:textId="77777777" w:rsidR="00BC5284" w:rsidRPr="00BC5284" w:rsidRDefault="00BC5284">
            <w:pPr>
              <w:pStyle w:val="TableTextStocktake"/>
              <w:jc w:val="center"/>
            </w:pPr>
            <w:r w:rsidRPr="00BC5284">
              <w:t>No</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37A9E8E" w14:textId="77777777" w:rsidR="00BC5284" w:rsidRPr="00BC5284" w:rsidRDefault="00BC5284">
            <w:pPr>
              <w:pStyle w:val="TableTextStocktake"/>
              <w:jc w:val="center"/>
            </w:pPr>
            <w:r w:rsidRPr="00BC5284">
              <w:t>Yes</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2217D89"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9D9C357" w14:textId="77777777" w:rsidR="00BC5284" w:rsidRPr="00BC5284" w:rsidRDefault="00BC5284">
            <w:pPr>
              <w:pStyle w:val="TableTextStocktake"/>
              <w:jc w:val="center"/>
            </w:pPr>
            <w:r w:rsidRPr="00BC5284">
              <w:t>No</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27C0E3" w14:textId="77777777" w:rsidR="00BC5284" w:rsidRPr="00BC5284" w:rsidRDefault="00BC5284">
            <w:pPr>
              <w:pStyle w:val="TableTextStocktake"/>
              <w:jc w:val="center"/>
            </w:pPr>
            <w:r w:rsidRPr="00BC5284">
              <w:t>No</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A1FADF8" w14:textId="77777777" w:rsidR="00BC5284" w:rsidRPr="00BC5284" w:rsidRDefault="00BC5284">
            <w:pPr>
              <w:pStyle w:val="TableTextStocktake"/>
              <w:jc w:val="center"/>
            </w:pPr>
            <w:r w:rsidRPr="00BC5284">
              <w:t>No</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61ACFA" w14:textId="77777777" w:rsidR="00BC5284" w:rsidRPr="00BC5284" w:rsidRDefault="00BC5284">
            <w:pPr>
              <w:pStyle w:val="TableTextStocktake"/>
              <w:jc w:val="center"/>
            </w:pPr>
            <w:r w:rsidRPr="00BC5284">
              <w:t>No</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A35E144" w14:textId="77777777" w:rsidR="00BC5284" w:rsidRPr="00BC5284" w:rsidRDefault="00BC5284">
            <w:pPr>
              <w:pStyle w:val="TableTextStocktake"/>
              <w:jc w:val="center"/>
            </w:pPr>
            <w:r w:rsidRPr="00BC5284">
              <w:t>No</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0FBDA8" w14:textId="77777777" w:rsidR="00BC5284" w:rsidRPr="00BC5284" w:rsidRDefault="00BC5284">
            <w:pPr>
              <w:pStyle w:val="TableTextStocktake"/>
              <w:jc w:val="center"/>
            </w:pPr>
            <w:r w:rsidRPr="00BC5284">
              <w:t>No</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6EB823D" w14:textId="77777777" w:rsidR="00BC5284" w:rsidRPr="00BC5284" w:rsidRDefault="00BC5284">
            <w:pPr>
              <w:pStyle w:val="TableTextStocktake"/>
              <w:jc w:val="center"/>
            </w:pPr>
            <w:r w:rsidRPr="00BC5284">
              <w:t>Yes</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3F03E71" w14:textId="77777777" w:rsidR="00BC5284" w:rsidRPr="00BC5284" w:rsidRDefault="00BC5284">
            <w:pPr>
              <w:pStyle w:val="TableTextStocktake"/>
              <w:jc w:val="center"/>
            </w:pPr>
            <w:r w:rsidRPr="00BC5284">
              <w:t>Yes</w:t>
            </w:r>
          </w:p>
        </w:tc>
      </w:tr>
      <w:tr w:rsidR="00BC5284" w:rsidRPr="00BC5284" w14:paraId="6760AAE9"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A701778" w14:textId="77777777" w:rsidR="00BC5284" w:rsidRPr="00BC5284" w:rsidRDefault="00BC5284">
            <w:pPr>
              <w:pStyle w:val="TableTextStocktake"/>
            </w:pPr>
            <w:r w:rsidRPr="00BC5284">
              <w:t xml:space="preserve">   Mt Hotham (ARMB)</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9414509" w14:textId="77777777" w:rsidR="00BC5284" w:rsidRPr="00BC5284" w:rsidRDefault="00BC5284">
            <w:pPr>
              <w:pStyle w:val="TableTextStocktake"/>
            </w:pPr>
            <w:r w:rsidRPr="00BC5284">
              <w:t>Non-LGA</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02606F" w14:textId="77777777" w:rsidR="00BC5284" w:rsidRPr="00BC5284" w:rsidRDefault="00BC5284">
            <w:pPr>
              <w:pStyle w:val="TableTextStocktake"/>
              <w:jc w:val="center"/>
            </w:pPr>
            <w:r w:rsidRPr="00BC5284">
              <w:t>-</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E3A46F5" w14:textId="77777777" w:rsidR="00BC5284" w:rsidRPr="00BC5284" w:rsidRDefault="00BC5284">
            <w:pPr>
              <w:pStyle w:val="TableTextStocktake"/>
              <w:jc w:val="center"/>
            </w:pPr>
            <w:r w:rsidRPr="00BC5284">
              <w:t>-</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CC10D87"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530DCCC" w14:textId="77777777" w:rsidR="00BC5284" w:rsidRPr="00BC5284" w:rsidRDefault="00BC5284">
            <w:pPr>
              <w:pStyle w:val="TableTextStocktake"/>
              <w:jc w:val="center"/>
            </w:pPr>
            <w:r w:rsidRPr="00BC5284">
              <w:t>-</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E932F31" w14:textId="77777777" w:rsidR="00BC5284" w:rsidRPr="00BC5284" w:rsidRDefault="00BC5284">
            <w:pPr>
              <w:pStyle w:val="TableTextStocktake"/>
              <w:jc w:val="center"/>
            </w:pPr>
            <w:r w:rsidRPr="00BC5284">
              <w:t>-</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F861D4E" w14:textId="77777777" w:rsidR="00BC5284" w:rsidRPr="00BC5284" w:rsidRDefault="00BC5284">
            <w:pPr>
              <w:pStyle w:val="TableTextStocktake"/>
              <w:jc w:val="center"/>
            </w:pPr>
            <w:r w:rsidRPr="00BC5284">
              <w:t>-</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71EFD26"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E25D0B" w14:textId="77777777" w:rsidR="00BC5284" w:rsidRPr="00BC5284" w:rsidRDefault="00BC5284">
            <w:pPr>
              <w:pStyle w:val="TableTextStocktake"/>
              <w:jc w:val="center"/>
            </w:pPr>
            <w:r w:rsidRPr="00BC5284">
              <w:t>-</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9183859" w14:textId="77777777" w:rsidR="00BC5284" w:rsidRPr="00BC5284" w:rsidRDefault="00BC5284">
            <w:pPr>
              <w:pStyle w:val="TableTextStocktake"/>
              <w:jc w:val="center"/>
            </w:pPr>
            <w:r w:rsidRPr="00BC5284">
              <w:t>-</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136A7DE" w14:textId="77777777" w:rsidR="00BC5284" w:rsidRPr="00BC5284" w:rsidRDefault="00BC5284">
            <w:pPr>
              <w:pStyle w:val="TableTextStocktake"/>
              <w:jc w:val="center"/>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8D2BB1B" w14:textId="77777777" w:rsidR="00BC5284" w:rsidRPr="00BC5284" w:rsidRDefault="00BC5284">
            <w:pPr>
              <w:pStyle w:val="TableTextStocktake"/>
              <w:jc w:val="center"/>
            </w:pPr>
            <w:r w:rsidRPr="00BC5284">
              <w:t>-</w:t>
            </w:r>
          </w:p>
        </w:tc>
      </w:tr>
      <w:tr w:rsidR="00BC5284" w:rsidRPr="00BC5284" w14:paraId="1C312F8E"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2899E04" w14:textId="77777777" w:rsidR="00BC5284" w:rsidRPr="00BC5284" w:rsidRDefault="00BC5284">
            <w:pPr>
              <w:pStyle w:val="TableTextStocktake"/>
            </w:pPr>
            <w:r w:rsidRPr="00BC5284">
              <w:t xml:space="preserve">   Southern (ARMB)</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47FAC1C" w14:textId="77777777" w:rsidR="00BC5284" w:rsidRPr="00BC5284" w:rsidRDefault="00BC5284">
            <w:pPr>
              <w:pStyle w:val="TableTextStocktake"/>
            </w:pPr>
            <w:r w:rsidRPr="00BC5284">
              <w:t>Non-LGA</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0FA91E7" w14:textId="77777777" w:rsidR="00BC5284" w:rsidRPr="00BC5284" w:rsidRDefault="00BC5284">
            <w:pPr>
              <w:pStyle w:val="TableTextStocktake"/>
              <w:jc w:val="center"/>
            </w:pPr>
            <w:r w:rsidRPr="00BC5284">
              <w:t>-</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7BC32B3" w14:textId="77777777" w:rsidR="00BC5284" w:rsidRPr="00BC5284" w:rsidRDefault="00BC5284">
            <w:pPr>
              <w:pStyle w:val="TableTextStocktake"/>
              <w:jc w:val="center"/>
            </w:pPr>
            <w:r w:rsidRPr="00BC5284">
              <w:t>-</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59F1A018"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9792DC" w14:textId="77777777" w:rsidR="00BC5284" w:rsidRPr="00BC5284" w:rsidRDefault="00BC5284">
            <w:pPr>
              <w:pStyle w:val="TableTextStocktake"/>
              <w:jc w:val="center"/>
            </w:pPr>
            <w:r w:rsidRPr="00BC5284">
              <w:t>-</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2E9C91B" w14:textId="77777777" w:rsidR="00BC5284" w:rsidRPr="00BC5284" w:rsidRDefault="00BC5284">
            <w:pPr>
              <w:pStyle w:val="TableTextStocktake"/>
              <w:jc w:val="center"/>
            </w:pPr>
            <w:r w:rsidRPr="00BC5284">
              <w:t>-</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DD4D9B7" w14:textId="77777777" w:rsidR="00BC5284" w:rsidRPr="00BC5284" w:rsidRDefault="00BC5284">
            <w:pPr>
              <w:pStyle w:val="TableTextStocktake"/>
              <w:jc w:val="center"/>
            </w:pPr>
            <w:r w:rsidRPr="00BC5284">
              <w:t>-</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B11135"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68EDDBEB" w14:textId="77777777" w:rsidR="00BC5284" w:rsidRPr="00BC5284" w:rsidRDefault="00BC5284">
            <w:pPr>
              <w:pStyle w:val="TableTextStocktake"/>
              <w:jc w:val="center"/>
            </w:pPr>
            <w:r w:rsidRPr="00BC5284">
              <w:t>-</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81AB305" w14:textId="77777777" w:rsidR="00BC5284" w:rsidRPr="00BC5284" w:rsidRDefault="00BC5284">
            <w:pPr>
              <w:pStyle w:val="TableTextStocktake"/>
              <w:jc w:val="center"/>
            </w:pPr>
            <w:r w:rsidRPr="00BC5284">
              <w:t>-</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35288D5" w14:textId="77777777" w:rsidR="00BC5284" w:rsidRPr="00BC5284" w:rsidRDefault="00BC5284">
            <w:pPr>
              <w:pStyle w:val="TableTextStocktake"/>
              <w:jc w:val="center"/>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5807D5" w14:textId="77777777" w:rsidR="00BC5284" w:rsidRPr="00BC5284" w:rsidRDefault="00BC5284">
            <w:pPr>
              <w:pStyle w:val="TableTextStocktake"/>
              <w:jc w:val="center"/>
            </w:pPr>
            <w:r w:rsidRPr="00BC5284">
              <w:t>-</w:t>
            </w:r>
          </w:p>
        </w:tc>
      </w:tr>
      <w:tr w:rsidR="00BC5284" w:rsidRPr="00BC5284" w14:paraId="001BE3C6" w14:textId="77777777" w:rsidTr="001F4513">
        <w:trPr>
          <w:trHeight w:val="60"/>
        </w:trPr>
        <w:tc>
          <w:tcPr>
            <w:tcW w:w="198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25FA1568" w14:textId="77777777" w:rsidR="00BC5284" w:rsidRPr="00BC5284" w:rsidRDefault="00BC5284">
            <w:pPr>
              <w:pStyle w:val="TableTextStocktake"/>
            </w:pPr>
            <w:r w:rsidRPr="00BC5284">
              <w:t>French Island and Sandstone Island</w:t>
            </w:r>
          </w:p>
        </w:tc>
        <w:tc>
          <w:tcPr>
            <w:tcW w:w="170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61400D0" w14:textId="77777777" w:rsidR="00BC5284" w:rsidRPr="00BC5284" w:rsidRDefault="00BC5284">
            <w:pPr>
              <w:pStyle w:val="TableTextStocktake"/>
            </w:pPr>
            <w:r w:rsidRPr="00BC5284">
              <w:t>Non-LGA</w:t>
            </w:r>
          </w:p>
        </w:tc>
        <w:tc>
          <w:tcPr>
            <w:tcW w:w="620"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486FF0B9" w14:textId="77777777" w:rsidR="00BC5284" w:rsidRPr="00BC5284" w:rsidRDefault="00BC5284">
            <w:pPr>
              <w:pStyle w:val="TableTextStocktake"/>
              <w:jc w:val="center"/>
            </w:pPr>
            <w:r w:rsidRPr="00BC5284">
              <w:t>-</w:t>
            </w:r>
          </w:p>
        </w:tc>
        <w:tc>
          <w:tcPr>
            <w:tcW w:w="60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972B5CA" w14:textId="77777777" w:rsidR="00BC5284" w:rsidRPr="00BC5284" w:rsidRDefault="00BC5284">
            <w:pPr>
              <w:pStyle w:val="TableTextStocktake"/>
              <w:jc w:val="center"/>
            </w:pPr>
            <w:r w:rsidRPr="00BC5284">
              <w:t>-</w:t>
            </w:r>
          </w:p>
        </w:tc>
        <w:tc>
          <w:tcPr>
            <w:tcW w:w="556"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B4ABED"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E3456A5" w14:textId="77777777" w:rsidR="00BC5284" w:rsidRPr="00BC5284" w:rsidRDefault="00BC5284">
            <w:pPr>
              <w:pStyle w:val="TableTextStocktake"/>
              <w:jc w:val="center"/>
            </w:pPr>
            <w:r w:rsidRPr="00BC5284">
              <w:t>-</w:t>
            </w:r>
          </w:p>
        </w:tc>
        <w:tc>
          <w:tcPr>
            <w:tcW w:w="64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8ECF6F2" w14:textId="77777777" w:rsidR="00BC5284" w:rsidRPr="00BC5284" w:rsidRDefault="00BC5284">
            <w:pPr>
              <w:pStyle w:val="TableTextStocktake"/>
              <w:jc w:val="center"/>
            </w:pPr>
            <w:r w:rsidRPr="00BC5284">
              <w:t>-</w:t>
            </w:r>
          </w:p>
        </w:tc>
        <w:tc>
          <w:tcPr>
            <w:tcW w:w="567"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5CA7741" w14:textId="77777777" w:rsidR="00BC5284" w:rsidRPr="00BC5284" w:rsidRDefault="00BC5284">
            <w:pPr>
              <w:pStyle w:val="TableTextStocktake"/>
              <w:jc w:val="center"/>
            </w:pPr>
            <w:r w:rsidRPr="00BC5284">
              <w:t>-</w:t>
            </w:r>
          </w:p>
        </w:tc>
        <w:tc>
          <w:tcPr>
            <w:tcW w:w="478"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734DF48B"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0AB631F" w14:textId="77777777" w:rsidR="00BC5284" w:rsidRPr="00BC5284" w:rsidRDefault="00BC5284">
            <w:pPr>
              <w:pStyle w:val="TableTextStocktake"/>
              <w:jc w:val="center"/>
            </w:pPr>
            <w:r w:rsidRPr="00BC5284">
              <w:t>-</w:t>
            </w:r>
          </w:p>
        </w:tc>
        <w:tc>
          <w:tcPr>
            <w:tcW w:w="8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1A066206" w14:textId="77777777" w:rsidR="00BC5284" w:rsidRPr="00BC5284" w:rsidRDefault="00BC5284">
            <w:pPr>
              <w:pStyle w:val="TableTextStocktake"/>
              <w:jc w:val="center"/>
            </w:pPr>
            <w:r w:rsidRPr="00BC5284">
              <w:t>-</w:t>
            </w:r>
          </w:p>
        </w:tc>
        <w:tc>
          <w:tcPr>
            <w:tcW w:w="851"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01EB37C8" w14:textId="77777777" w:rsidR="00BC5284" w:rsidRPr="00BC5284" w:rsidRDefault="00BC5284">
            <w:pPr>
              <w:pStyle w:val="TableTextStocktake"/>
              <w:jc w:val="center"/>
            </w:pPr>
            <w:r w:rsidRPr="00BC5284">
              <w:t>-</w:t>
            </w:r>
          </w:p>
        </w:tc>
        <w:tc>
          <w:tcPr>
            <w:tcW w:w="709" w:type="dxa"/>
            <w:tcBorders>
              <w:top w:val="single" w:sz="2" w:space="0" w:color="000000"/>
              <w:left w:val="single" w:sz="6" w:space="0" w:color="000000"/>
              <w:bottom w:val="single" w:sz="2" w:space="0" w:color="000000"/>
              <w:right w:val="single" w:sz="6" w:space="0" w:color="000000"/>
            </w:tcBorders>
            <w:tcMar>
              <w:top w:w="57" w:type="dxa"/>
              <w:left w:w="80" w:type="dxa"/>
              <w:bottom w:w="57" w:type="dxa"/>
              <w:right w:w="80" w:type="dxa"/>
            </w:tcMar>
          </w:tcPr>
          <w:p w14:paraId="37C79E97" w14:textId="77777777" w:rsidR="00BC5284" w:rsidRPr="00BC5284" w:rsidRDefault="00BC5284">
            <w:pPr>
              <w:pStyle w:val="TableTextStocktake"/>
              <w:jc w:val="center"/>
            </w:pPr>
            <w:r w:rsidRPr="00BC5284">
              <w:t>-</w:t>
            </w:r>
          </w:p>
        </w:tc>
      </w:tr>
      <w:tr w:rsidR="00BC5284" w:rsidRPr="00BC5284" w14:paraId="2EB524A5" w14:textId="77777777" w:rsidTr="001F4513">
        <w:trPr>
          <w:trHeight w:val="60"/>
        </w:trPr>
        <w:tc>
          <w:tcPr>
            <w:tcW w:w="198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8FDD009" w14:textId="77777777" w:rsidR="00BC5284" w:rsidRPr="00BC5284" w:rsidRDefault="00BC5284">
            <w:pPr>
              <w:pStyle w:val="TableTextStocktake"/>
            </w:pPr>
            <w:r w:rsidRPr="00BC5284">
              <w:t>Port of Melbourne</w:t>
            </w:r>
          </w:p>
        </w:tc>
        <w:tc>
          <w:tcPr>
            <w:tcW w:w="170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4C22D072" w14:textId="77777777" w:rsidR="00BC5284" w:rsidRPr="00BC5284" w:rsidRDefault="00BC5284">
            <w:pPr>
              <w:pStyle w:val="TableTextStocktake"/>
            </w:pPr>
            <w:r w:rsidRPr="00BC5284">
              <w:t>Non-LGA</w:t>
            </w:r>
          </w:p>
        </w:tc>
        <w:tc>
          <w:tcPr>
            <w:tcW w:w="620"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EA39235" w14:textId="77777777" w:rsidR="00BC5284" w:rsidRPr="00BC5284" w:rsidRDefault="00BC5284">
            <w:pPr>
              <w:pStyle w:val="TableTextStocktake"/>
              <w:jc w:val="center"/>
            </w:pPr>
            <w:r w:rsidRPr="00BC5284">
              <w:t>-</w:t>
            </w:r>
          </w:p>
        </w:tc>
        <w:tc>
          <w:tcPr>
            <w:tcW w:w="60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42CF192" w14:textId="77777777" w:rsidR="00BC5284" w:rsidRPr="00BC5284" w:rsidRDefault="00BC5284">
            <w:pPr>
              <w:pStyle w:val="TableTextStocktake"/>
              <w:jc w:val="center"/>
            </w:pPr>
            <w:r w:rsidRPr="00BC5284">
              <w:t>-</w:t>
            </w:r>
          </w:p>
        </w:tc>
        <w:tc>
          <w:tcPr>
            <w:tcW w:w="556"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B3C1A53"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BCAA30A" w14:textId="77777777" w:rsidR="00BC5284" w:rsidRPr="00BC5284" w:rsidRDefault="00BC5284">
            <w:pPr>
              <w:pStyle w:val="TableTextStocktake"/>
              <w:jc w:val="center"/>
            </w:pPr>
            <w:r w:rsidRPr="00BC5284">
              <w:t>-</w:t>
            </w:r>
          </w:p>
        </w:tc>
        <w:tc>
          <w:tcPr>
            <w:tcW w:w="64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7DD9C02" w14:textId="77777777" w:rsidR="00BC5284" w:rsidRPr="00BC5284" w:rsidRDefault="00BC5284">
            <w:pPr>
              <w:pStyle w:val="TableTextStocktake"/>
              <w:jc w:val="center"/>
            </w:pPr>
            <w:r w:rsidRPr="00BC5284">
              <w:t>-</w:t>
            </w:r>
          </w:p>
        </w:tc>
        <w:tc>
          <w:tcPr>
            <w:tcW w:w="567"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BB6EFC9" w14:textId="77777777" w:rsidR="00BC5284" w:rsidRPr="00BC5284" w:rsidRDefault="00BC5284">
            <w:pPr>
              <w:pStyle w:val="TableTextStocktake"/>
              <w:jc w:val="center"/>
            </w:pPr>
            <w:r w:rsidRPr="00BC5284">
              <w:t>-</w:t>
            </w:r>
          </w:p>
        </w:tc>
        <w:tc>
          <w:tcPr>
            <w:tcW w:w="478"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419E3E9" w14:textId="77777777" w:rsidR="00BC5284" w:rsidRPr="00BC5284" w:rsidRDefault="00BC5284">
            <w:pPr>
              <w:pStyle w:val="TableTextStocktake"/>
              <w:jc w:val="center"/>
            </w:pPr>
            <w:r w:rsidRPr="00BC5284">
              <w:t>-</w:t>
            </w:r>
          </w:p>
        </w:tc>
        <w:tc>
          <w:tcPr>
            <w:tcW w:w="555"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50493F14" w14:textId="77777777" w:rsidR="00BC5284" w:rsidRPr="00BC5284" w:rsidRDefault="00BC5284">
            <w:pPr>
              <w:pStyle w:val="TableTextStocktake"/>
              <w:jc w:val="center"/>
            </w:pPr>
            <w:r w:rsidRPr="00BC5284">
              <w:t>-</w:t>
            </w:r>
          </w:p>
        </w:tc>
        <w:tc>
          <w:tcPr>
            <w:tcW w:w="8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2505CF83" w14:textId="77777777" w:rsidR="00BC5284" w:rsidRPr="00BC5284" w:rsidRDefault="00BC5284">
            <w:pPr>
              <w:pStyle w:val="TableTextStocktake"/>
              <w:jc w:val="center"/>
            </w:pPr>
            <w:r w:rsidRPr="00BC5284">
              <w:t>-</w:t>
            </w:r>
          </w:p>
        </w:tc>
        <w:tc>
          <w:tcPr>
            <w:tcW w:w="851"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6AF6A7FC" w14:textId="77777777" w:rsidR="00BC5284" w:rsidRPr="00BC5284" w:rsidRDefault="00BC5284">
            <w:pPr>
              <w:pStyle w:val="TableTextStocktake"/>
              <w:jc w:val="center"/>
            </w:pPr>
            <w:r w:rsidRPr="00BC5284">
              <w:t>-</w:t>
            </w:r>
          </w:p>
        </w:tc>
        <w:tc>
          <w:tcPr>
            <w:tcW w:w="709" w:type="dxa"/>
            <w:tcBorders>
              <w:top w:val="single" w:sz="2" w:space="0" w:color="000000"/>
              <w:left w:val="single" w:sz="6" w:space="0" w:color="000000"/>
              <w:bottom w:val="single" w:sz="4" w:space="0" w:color="000000"/>
              <w:right w:val="single" w:sz="6" w:space="0" w:color="000000"/>
            </w:tcBorders>
            <w:tcMar>
              <w:top w:w="57" w:type="dxa"/>
              <w:left w:w="80" w:type="dxa"/>
              <w:bottom w:w="113" w:type="dxa"/>
              <w:right w:w="80" w:type="dxa"/>
            </w:tcMar>
          </w:tcPr>
          <w:p w14:paraId="13974EC2" w14:textId="77777777" w:rsidR="00BC5284" w:rsidRPr="00BC5284" w:rsidRDefault="00BC5284">
            <w:pPr>
              <w:pStyle w:val="TableTextStocktake"/>
              <w:jc w:val="center"/>
            </w:pPr>
            <w:r w:rsidRPr="00BC5284">
              <w:t>-</w:t>
            </w:r>
          </w:p>
        </w:tc>
      </w:tr>
    </w:tbl>
    <w:p w14:paraId="764BA24F" w14:textId="77777777" w:rsidR="00BC5284" w:rsidRDefault="00BC5284">
      <w:pPr>
        <w:pStyle w:val="BasicParagraph"/>
      </w:pPr>
    </w:p>
    <w:p w14:paraId="4E9E9EC5" w14:textId="77777777" w:rsidR="00BC5284" w:rsidRDefault="00BC5284">
      <w:pPr>
        <w:pStyle w:val="FigureTitleandnumbernounderline"/>
      </w:pPr>
      <w:r>
        <w:t>Figure 3.2 Number of heritage studies, reviews and surveys</w:t>
      </w:r>
      <w:r>
        <w:tab/>
      </w:r>
    </w:p>
    <w:p w14:paraId="363DBEF6" w14:textId="77777777" w:rsidR="00BC5284" w:rsidRDefault="00BC5284">
      <w:pPr>
        <w:pStyle w:val="Headingsubtitle1"/>
        <w:rPr>
          <w:color w:val="000000"/>
        </w:rPr>
      </w:pPr>
      <w:r>
        <w:rPr>
          <w:color w:val="000000"/>
        </w:rPr>
        <w:t>3.3 Identifying local heritage</w:t>
      </w:r>
    </w:p>
    <w:p w14:paraId="79D3C392" w14:textId="77777777" w:rsidR="00BC5284" w:rsidRDefault="00BC5284">
      <w:pPr>
        <w:pStyle w:val="Text"/>
      </w:pPr>
      <w:r>
        <w:t>Identifying what is of local heritage significance is an important first step in the local heritage protection process. This primarily involves assessing and documenting heritage places by undertaking heritage studies.</w:t>
      </w:r>
    </w:p>
    <w:p w14:paraId="4C02C0EF" w14:textId="77777777" w:rsidR="00BC5284" w:rsidRDefault="00BC5284">
      <w:pPr>
        <w:pStyle w:val="HeadingSubtitle2"/>
        <w:rPr>
          <w:color w:val="000000"/>
        </w:rPr>
      </w:pPr>
      <w:r>
        <w:rPr>
          <w:color w:val="000000"/>
        </w:rPr>
        <w:t>Heritage studies</w:t>
      </w:r>
    </w:p>
    <w:p w14:paraId="20B06545" w14:textId="77777777" w:rsidR="00BC5284" w:rsidRDefault="00BC5284">
      <w:pPr>
        <w:pStyle w:val="Text"/>
      </w:pPr>
      <w:r>
        <w:t>Heritage studies, formerly known as conservation studies, are the primary mechanisms by which places, either individual places (properties – mainly buildings but also other structures and vegetation) or precinct places (a grouping of properties), are identified and assessed for heritage significance (both State and local) and recommended for strategic protection through the HO or the VHR.</w:t>
      </w:r>
    </w:p>
    <w:p w14:paraId="2A29D6BE" w14:textId="77777777" w:rsidR="00BC5284" w:rsidRDefault="00BC5284">
      <w:pPr>
        <w:pStyle w:val="Text"/>
      </w:pPr>
      <w:r>
        <w:t xml:space="preserve">Planning authorities – councils and the State Government for its special planning areas – most commonly engage a qualified heritage consultant to undertake this work, specifying the focus of the study. The focus can be the entire local government area (LGA), a particular area of the LGA, a particular heritage place-type, e.g. industrial buildings, or a particular time period, e.g. the Victorian period of 1835–1901. </w:t>
      </w:r>
    </w:p>
    <w:p w14:paraId="2220063A" w14:textId="77777777" w:rsidR="00BC5284" w:rsidRDefault="00BC5284">
      <w:pPr>
        <w:pStyle w:val="Text"/>
      </w:pPr>
      <w:r>
        <w:t xml:space="preserve">Heritage studies are often divided into two stages: </w:t>
      </w:r>
    </w:p>
    <w:p w14:paraId="419B9252" w14:textId="77777777" w:rsidR="00BC5284" w:rsidRDefault="00BC5284">
      <w:pPr>
        <w:pStyle w:val="TextBulletsPara"/>
      </w:pPr>
      <w:r>
        <w:rPr>
          <w:rStyle w:val="TextBullet"/>
        </w:rPr>
        <w:t>•</w:t>
      </w:r>
      <w:r>
        <w:rPr>
          <w:rStyle w:val="TextBullet"/>
        </w:rPr>
        <w:tab/>
      </w:r>
      <w:r>
        <w:t>stage one studies are essential scoping exercises that involve the broad identification of places of potential significance across the study area, often completed in combination with a thematic history of the LGA</w:t>
      </w:r>
    </w:p>
    <w:p w14:paraId="084936EC" w14:textId="77777777" w:rsidR="00BC5284" w:rsidRDefault="00BC5284">
      <w:pPr>
        <w:pStyle w:val="TextBulletsPara"/>
      </w:pPr>
      <w:r>
        <w:rPr>
          <w:rStyle w:val="TextBullet"/>
        </w:rPr>
        <w:t>•</w:t>
      </w:r>
      <w:r>
        <w:rPr>
          <w:rStyle w:val="TextBullet"/>
        </w:rPr>
        <w:tab/>
      </w:r>
      <w:r>
        <w:t>stage two studies involve the detailed assessment of those places.</w:t>
      </w:r>
    </w:p>
    <w:p w14:paraId="7BCCBB1F" w14:textId="77777777" w:rsidR="00BC5284" w:rsidRDefault="00BC5284">
      <w:pPr>
        <w:pStyle w:val="Text"/>
      </w:pPr>
      <w:r>
        <w:rPr>
          <w:rStyle w:val="TextItalic"/>
          <w:iCs/>
        </w:rPr>
        <w:t>Planning Practice Note 1 – Applying the Heritage Overlay</w:t>
      </w:r>
      <w:r>
        <w:t xml:space="preserve"> provides a set of criteria, the same as the HERCON criteria, against which the heritage value of a place should be assessed.</w:t>
      </w:r>
    </w:p>
    <w:p w14:paraId="783387B9" w14:textId="77777777" w:rsidR="00BC5284" w:rsidRDefault="00BC5284">
      <w:pPr>
        <w:pStyle w:val="Text"/>
      </w:pPr>
      <w:r>
        <w:t>Data has been collected on the number of heritage studies, including reviews and surveys but not individual assessments, conducted by each local council and is presented in Figure 3.2. This data was attained through a desktop review of heritage studies. These figures were cross-checked with data from the council survey on the number of councils that have undertaken a heritage study in the past three years, which is presented in Figure 3.3.</w:t>
      </w:r>
    </w:p>
    <w:p w14:paraId="6BEAC0F6" w14:textId="77777777" w:rsidR="00BC5284" w:rsidRDefault="00BC5284">
      <w:pPr>
        <w:pStyle w:val="HeadingSubtitle3"/>
        <w:rPr>
          <w:color w:val="000000"/>
        </w:rPr>
      </w:pPr>
      <w:r>
        <w:rPr>
          <w:color w:val="000000"/>
        </w:rPr>
        <w:t>Other heritage assessments</w:t>
      </w:r>
    </w:p>
    <w:p w14:paraId="27F987D8" w14:textId="77777777" w:rsidR="00BC5284" w:rsidRDefault="00BC5284">
      <w:pPr>
        <w:pStyle w:val="Text"/>
      </w:pPr>
      <w:r>
        <w:t xml:space="preserve">Heritage assessment may also be reactive. Sections 29A and 29B of the </w:t>
      </w:r>
      <w:r>
        <w:rPr>
          <w:rStyle w:val="TextItalic"/>
          <w:iCs/>
        </w:rPr>
        <w:t>Building Act 1993</w:t>
      </w:r>
      <w:r>
        <w:t xml:space="preserve"> provide that the ‘report and consent’ of the relevant council is a condition precedent to any building permit application for the substantial demolition of a place. This requirement, known as the ‘Building Act safety net’, provides councils with time to conduct a heritage assessment to determine if the building proposed to be demolished is of local heritage significance and seek an Interim Heritage Overlay from the Minister for Planning if they believe one is warranted. This provision and its misunderstanding have been the topic of much confusion within councils and the media of late.</w:t>
      </w:r>
      <w:r>
        <w:t> </w:t>
      </w:r>
    </w:p>
    <w:p w14:paraId="2ADD214B" w14:textId="77777777" w:rsidR="00BC5284" w:rsidRDefault="00BC5284">
      <w:pPr>
        <w:pStyle w:val="FigureTitleandnumbernounderline"/>
      </w:pPr>
      <w:r>
        <w:lastRenderedPageBreak/>
        <w:t>Figure 3.3 Recentness of heritage studies</w:t>
      </w:r>
    </w:p>
    <w:p w14:paraId="0052FA17" w14:textId="77777777" w:rsidR="00BC5284" w:rsidRDefault="00BC5284">
      <w:pPr>
        <w:pStyle w:val="HeadingSubtitle4"/>
        <w:rPr>
          <w:color w:val="000000"/>
        </w:rPr>
      </w:pPr>
      <w:r>
        <w:rPr>
          <w:color w:val="000000"/>
        </w:rPr>
        <w:t>Key findings</w:t>
      </w:r>
    </w:p>
    <w:p w14:paraId="0A50EE8B" w14:textId="77777777" w:rsidR="00BC5284" w:rsidRDefault="00BC5284">
      <w:pPr>
        <w:pStyle w:val="TextBulletsPara"/>
      </w:pPr>
      <w:r>
        <w:rPr>
          <w:rStyle w:val="TextBullet"/>
        </w:rPr>
        <w:t>•</w:t>
      </w:r>
      <w:r>
        <w:rPr>
          <w:rStyle w:val="TextBullet"/>
        </w:rPr>
        <w:tab/>
      </w:r>
      <w:r>
        <w:t>There are two councils (one of which is an ARMB</w:t>
      </w:r>
      <w:r w:rsidR="00B84B42">
        <w:rPr>
          <w:rStyle w:val="FootnoteReference"/>
        </w:rPr>
        <w:footnoteReference w:id="8"/>
      </w:r>
      <w:r>
        <w:t>) that have not yet completed a heritage study. There is also another council that has only completed a stage one study.</w:t>
      </w:r>
    </w:p>
    <w:p w14:paraId="5D2F280C" w14:textId="77777777" w:rsidR="00BC5284" w:rsidRDefault="00BC5284">
      <w:pPr>
        <w:pStyle w:val="TextBulletsPara"/>
      </w:pPr>
      <w:r>
        <w:rPr>
          <w:rStyle w:val="TextBullet"/>
        </w:rPr>
        <w:t>•</w:t>
      </w:r>
      <w:r>
        <w:rPr>
          <w:rStyle w:val="TextBullet"/>
        </w:rPr>
        <w:tab/>
      </w:r>
      <w:r>
        <w:t>The number of heritage studies that have been completed varies significantly between councils. This can be due to the types of studies undertaken (e.g. a municipal-wide study versus a smaller area study, small place-type studies), the number of heritage places in the LGA and the ability of the councils to undertake studies.</w:t>
      </w:r>
    </w:p>
    <w:p w14:paraId="75202CC6" w14:textId="77777777" w:rsidR="00BC5284" w:rsidRDefault="00BC5284">
      <w:pPr>
        <w:pStyle w:val="TextBulletsPara"/>
      </w:pPr>
      <w:r>
        <w:rPr>
          <w:rStyle w:val="TextBullet"/>
        </w:rPr>
        <w:t>•</w:t>
      </w:r>
      <w:r>
        <w:rPr>
          <w:rStyle w:val="TextBullet"/>
        </w:rPr>
        <w:tab/>
      </w:r>
      <w:r>
        <w:t>Approximately one-third of all councils surveyed (34%) have undertaken a heritage study in the past three years: 61% of metropolitan councils have done so, compared to 16% of rural councils. No council from the Rural Small Group has undertaken a heritage study in the past three years.</w:t>
      </w:r>
    </w:p>
    <w:p w14:paraId="6E628EA7" w14:textId="77777777" w:rsidR="00BC5284" w:rsidRDefault="00BC5284">
      <w:pPr>
        <w:pStyle w:val="Text"/>
      </w:pPr>
      <w:r>
        <w:t xml:space="preserve">The data reveals that not every council has completed a heritage study and, as such, may have places of local heritage significance that are unprotected. These councils are not meeting their obligations to conserve heritage places under the </w:t>
      </w:r>
      <w:r>
        <w:rPr>
          <w:rStyle w:val="TextItalic"/>
          <w:iCs/>
        </w:rPr>
        <w:t>Planning and Environment Act 1987</w:t>
      </w:r>
      <w:r>
        <w:t>. This is a significant issue that needs to be addressed.</w:t>
      </w:r>
    </w:p>
    <w:p w14:paraId="56079E11" w14:textId="77777777" w:rsidR="00BC5284" w:rsidRDefault="00BC5284">
      <w:pPr>
        <w:pStyle w:val="HeadingSubtitle3"/>
        <w:rPr>
          <w:color w:val="000000"/>
        </w:rPr>
      </w:pPr>
      <w:r>
        <w:rPr>
          <w:color w:val="000000"/>
        </w:rPr>
        <w:t>Geographic gaps in heritage studies</w:t>
      </w:r>
    </w:p>
    <w:p w14:paraId="7D47E6B0" w14:textId="77777777" w:rsidR="00BC5284" w:rsidRDefault="00BC5284">
      <w:pPr>
        <w:pStyle w:val="Text"/>
      </w:pPr>
      <w:r>
        <w:t xml:space="preserve">As mentioned above, heritage studies may, in many instances, have a rather limited geographic focus. For example, they may investigate one particular part of an </w:t>
      </w:r>
    </w:p>
    <w:p w14:paraId="4A69D916" w14:textId="77777777" w:rsidR="00BC5284" w:rsidRDefault="00BC5284">
      <w:pPr>
        <w:pStyle w:val="FigureTitleandnumbernounderline"/>
      </w:pPr>
      <w:r>
        <w:t>Figure 3.4 Geographic gaps in heritage studies</w:t>
      </w:r>
    </w:p>
    <w:p w14:paraId="59B9F13D" w14:textId="77777777" w:rsidR="00BC5284" w:rsidRDefault="00BC5284">
      <w:pPr>
        <w:pStyle w:val="HeadingSubtitle4"/>
        <w:rPr>
          <w:color w:val="000000"/>
        </w:rPr>
      </w:pPr>
      <w:r>
        <w:rPr>
          <w:color w:val="000000"/>
        </w:rPr>
        <w:t>Key findings</w:t>
      </w:r>
    </w:p>
    <w:p w14:paraId="4D689F9B" w14:textId="77777777" w:rsidR="00BC5284" w:rsidRDefault="00BC5284">
      <w:pPr>
        <w:pStyle w:val="TextBulletsPara"/>
      </w:pPr>
      <w:r>
        <w:rPr>
          <w:rStyle w:val="TextBullet"/>
        </w:rPr>
        <w:t>•</w:t>
      </w:r>
      <w:r>
        <w:rPr>
          <w:rStyle w:val="TextBullet"/>
        </w:rPr>
        <w:tab/>
      </w:r>
      <w:r>
        <w:t>Approximately one-fifth of all councils surveyed (18%) identified a geographic gap in the coverage of their heritage studies.</w:t>
      </w:r>
    </w:p>
    <w:p w14:paraId="41BFCD1C" w14:textId="77777777" w:rsidR="00BC5284" w:rsidRDefault="00BC5284">
      <w:pPr>
        <w:pStyle w:val="TextBulletsPara"/>
      </w:pPr>
      <w:r>
        <w:rPr>
          <w:rStyle w:val="TextBullet"/>
        </w:rPr>
        <w:t>•</w:t>
      </w:r>
      <w:r>
        <w:rPr>
          <w:rStyle w:val="TextBullet"/>
        </w:rPr>
        <w:tab/>
      </w:r>
      <w:r>
        <w:t>Geographic gaps were most common in rural councils, likely due to their larger area size.</w:t>
      </w:r>
    </w:p>
    <w:p w14:paraId="762C6FCE" w14:textId="77777777" w:rsidR="00BC5284" w:rsidRDefault="00BC5284">
      <w:pPr>
        <w:pStyle w:val="Text"/>
      </w:pPr>
      <w:r>
        <w:t>The data reveals that a significant proportion of councils have areas that have not been investigated to identify heritage places. As such, these councils may have places of local heritage significance that are unprotected. This issue needs to be addressed along with that of councils that have not yet completed a heritage study.</w:t>
      </w:r>
    </w:p>
    <w:p w14:paraId="21CA1A5D" w14:textId="77777777" w:rsidR="00BC5284" w:rsidRDefault="00BC5284">
      <w:pPr>
        <w:pStyle w:val="HeadingSubtitle3"/>
        <w:rPr>
          <w:color w:val="000000"/>
        </w:rPr>
      </w:pPr>
      <w:r>
        <w:rPr>
          <w:color w:val="000000"/>
        </w:rPr>
        <w:t>Place-type gaps in heritage studies</w:t>
      </w:r>
    </w:p>
    <w:p w14:paraId="6162243F" w14:textId="77777777" w:rsidR="00BC5284" w:rsidRDefault="00BC5284">
      <w:pPr>
        <w:pStyle w:val="Text"/>
      </w:pPr>
      <w:r>
        <w:rPr>
          <w:spacing w:val="-2"/>
        </w:rPr>
        <w:t>Just as heritage studies may have a limited geographic focus,</w:t>
      </w:r>
      <w:r>
        <w:t xml:space="preserve"> in many instances they often have a limited place-type focus. For example, they may focus on one particular type of local heritage or a particular time period. This is often driven by the thematic history of the LGA. The council survey asked if and what place-type gaps a council had in their heritage studies. This data is presented in Figure 3.5.</w:t>
      </w:r>
    </w:p>
    <w:p w14:paraId="0D156326" w14:textId="77777777" w:rsidR="00BC5284" w:rsidRDefault="00BC5284">
      <w:pPr>
        <w:pStyle w:val="HeadingSubtitle4"/>
        <w:rPr>
          <w:color w:val="000000"/>
        </w:rPr>
      </w:pPr>
      <w:r>
        <w:rPr>
          <w:color w:val="000000"/>
        </w:rPr>
        <w:t>Key findings</w:t>
      </w:r>
    </w:p>
    <w:p w14:paraId="08896F9E" w14:textId="77777777" w:rsidR="00BC5284" w:rsidRDefault="00BC5284">
      <w:pPr>
        <w:pStyle w:val="TextBulletsPara"/>
      </w:pPr>
      <w:r>
        <w:rPr>
          <w:rStyle w:val="TextBullet"/>
        </w:rPr>
        <w:t>•</w:t>
      </w:r>
      <w:r>
        <w:rPr>
          <w:rStyle w:val="TextBullet"/>
        </w:rPr>
        <w:tab/>
      </w:r>
      <w:r>
        <w:t>Place-type gaps are far more common than geographic gaps. Over three-quarters of all councils surveyed (76%) identified a place-type gap in their heritage studies. This figure was fairly consistent across all council types, except the Rural Large Group, where 95% of councils identified type gaps.</w:t>
      </w:r>
    </w:p>
    <w:p w14:paraId="1B8BA677" w14:textId="77777777" w:rsidR="00BC5284" w:rsidRDefault="00BC5284">
      <w:pPr>
        <w:pStyle w:val="TextBulletsPara"/>
      </w:pPr>
      <w:r>
        <w:rPr>
          <w:rStyle w:val="TextBullet"/>
        </w:rPr>
        <w:t>•</w:t>
      </w:r>
      <w:r>
        <w:rPr>
          <w:rStyle w:val="TextBullet"/>
        </w:rPr>
        <w:tab/>
      </w:r>
      <w:r>
        <w:t xml:space="preserve">The most common place-type gaps are trees and gardens (37), post-war residential (36) and historic </w:t>
      </w:r>
      <w:r>
        <w:rPr>
          <w:spacing w:val="-5"/>
        </w:rPr>
        <w:t>landscapes (31). Post-war residential was the most common</w:t>
      </w:r>
      <w:r>
        <w:rPr>
          <w:spacing w:val="-2"/>
        </w:rPr>
        <w:t xml:space="preserve"> place-type gap for metropolitan councils, while</w:t>
      </w:r>
      <w:r>
        <w:t xml:space="preserve"> trees and gardens were the most common for rural councils.</w:t>
      </w:r>
    </w:p>
    <w:p w14:paraId="577DE132" w14:textId="77777777" w:rsidR="00BC5284" w:rsidRDefault="00BC5284" w:rsidP="00B84B42">
      <w:pPr>
        <w:pStyle w:val="TextBulletsPara"/>
      </w:pPr>
      <w:r>
        <w:rPr>
          <w:rStyle w:val="TextBullet"/>
        </w:rPr>
        <w:t>•</w:t>
      </w:r>
      <w:r>
        <w:rPr>
          <w:rStyle w:val="TextBullet"/>
        </w:rPr>
        <w:tab/>
      </w:r>
      <w:r>
        <w:t>LGA, rather than the whole LGA. The council survey asked councils if and what geographic gaps they had in their heritage studies. Figure 3.4 shows the number of councils that identified having a geographic gap in their heritage study coverage. This is most commonly the result of the local government restructuring of the 1990s, where councils that had completed heritage studies for their LGA were combined with those who had not, resulting in geographic gaps that were never filled.</w:t>
      </w:r>
    </w:p>
    <w:p w14:paraId="13351D53" w14:textId="77777777" w:rsidR="00BC5284" w:rsidRDefault="00BC5284">
      <w:pPr>
        <w:pStyle w:val="TextBulletsPara"/>
      </w:pPr>
      <w:r>
        <w:rPr>
          <w:rStyle w:val="TextBullet"/>
        </w:rPr>
        <w:t>•</w:t>
      </w:r>
      <w:r>
        <w:rPr>
          <w:rStyle w:val="TextBullet"/>
        </w:rPr>
        <w:tab/>
      </w:r>
      <w:r>
        <w:t>The least common place-type gaps are public buildings (16), transport-related heritage (16), Victorian residential (17) and Edwardian residential (17).</w:t>
      </w:r>
    </w:p>
    <w:p w14:paraId="77B2AAAD" w14:textId="77777777" w:rsidR="00BC5284" w:rsidRDefault="00BC5284">
      <w:pPr>
        <w:pStyle w:val="Text"/>
      </w:pPr>
      <w:r>
        <w:t xml:space="preserve">The data reveals that the majority of councils have specific place-types that have not been investigated in their heritage studies. Importantly, it reveals the most common types gaps. Two of the three common place-type gaps are trees and gardens, and historic </w:t>
      </w:r>
      <w:r>
        <w:lastRenderedPageBreak/>
        <w:t xml:space="preserve">landscapes. This is not surprising, as these types have not traditionally been covered in heritage studies and there are other mechanisms available for their protection, e.g. Vegetation Protection and Significant Landscape Overlays. </w:t>
      </w:r>
    </w:p>
    <w:p w14:paraId="1C4AB186" w14:textId="77777777" w:rsidR="00BC5284" w:rsidRDefault="00BC5284">
      <w:pPr>
        <w:pStyle w:val="Text"/>
      </w:pPr>
      <w:r>
        <w:t>The most common built form gaps are post- and inter-war residences and industrial heritage. Again, this is not surprising, as these types have not traditionally been covered in heritage studies. However, both of these types of heritage are important and will become more so over time, and more guidance should be provided to assist councils to address these type gaps. Of some concern is the number of councils that listed Victorian and Edwardian residences as a type gap, as these have traditionally been covered by most heritage studies. This suggests that heritage studies either have not been undertaken for particular areas or the ones undertaken have not been comprehensive enough.</w:t>
      </w:r>
    </w:p>
    <w:p w14:paraId="78893320" w14:textId="77777777" w:rsidR="008E06D5" w:rsidRDefault="008E06D5" w:rsidP="008E06D5">
      <w:pPr>
        <w:pStyle w:val="FigureTitleandnumbernounderline"/>
      </w:pPr>
      <w:r>
        <w:t>Figure 3.5 Most common place-type gaps in heritage studies</w:t>
      </w:r>
    </w:p>
    <w:p w14:paraId="427B3D79" w14:textId="77777777" w:rsidR="008E06D5" w:rsidRDefault="008E06D5">
      <w:pPr>
        <w:pStyle w:val="Text"/>
      </w:pPr>
    </w:p>
    <w:p w14:paraId="0CF225B3" w14:textId="77777777" w:rsidR="008E06D5" w:rsidRPr="0025698C" w:rsidRDefault="0059510D" w:rsidP="0025698C">
      <w:pPr>
        <w:pStyle w:val="CaseStudyHeading1"/>
        <w:rPr>
          <w:color w:val="000000"/>
          <w:spacing w:val="0"/>
          <w:sz w:val="32"/>
        </w:rPr>
      </w:pPr>
      <w:r w:rsidRPr="0025698C">
        <w:rPr>
          <w:color w:val="000000"/>
          <w:spacing w:val="0"/>
          <w:sz w:val="32"/>
        </w:rPr>
        <w:t>C</w:t>
      </w:r>
      <w:r w:rsidR="0025698C" w:rsidRPr="0025698C">
        <w:rPr>
          <w:color w:val="000000"/>
          <w:spacing w:val="0"/>
          <w:sz w:val="32"/>
        </w:rPr>
        <w:t>ase Study</w:t>
      </w:r>
      <w:r w:rsidR="0025698C">
        <w:rPr>
          <w:color w:val="000000"/>
          <w:spacing w:val="0"/>
          <w:sz w:val="32"/>
        </w:rPr>
        <w:t>:</w:t>
      </w:r>
      <w:r w:rsidR="0025698C" w:rsidRPr="0025698C">
        <w:rPr>
          <w:color w:val="000000"/>
          <w:spacing w:val="0"/>
          <w:sz w:val="32"/>
        </w:rPr>
        <w:t xml:space="preserve"> </w:t>
      </w:r>
      <w:r w:rsidR="008E06D5" w:rsidRPr="0025698C">
        <w:rPr>
          <w:color w:val="000000"/>
          <w:spacing w:val="0"/>
          <w:sz w:val="32"/>
        </w:rPr>
        <w:t>Post-war Heritage Study –</w:t>
      </w:r>
      <w:r w:rsidR="0025698C" w:rsidRPr="0025698C">
        <w:rPr>
          <w:color w:val="000000"/>
          <w:spacing w:val="0"/>
          <w:sz w:val="32"/>
        </w:rPr>
        <w:t xml:space="preserve"> </w:t>
      </w:r>
      <w:r w:rsidR="008E06D5" w:rsidRPr="0025698C">
        <w:rPr>
          <w:color w:val="000000"/>
          <w:spacing w:val="0"/>
          <w:sz w:val="32"/>
        </w:rPr>
        <w:t>Frankston City Council</w:t>
      </w:r>
    </w:p>
    <w:p w14:paraId="409CF63B" w14:textId="77777777" w:rsidR="008E06D5" w:rsidRDefault="008E06D5" w:rsidP="008E06D5">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8E06D5" w:rsidRPr="00BC5284" w14:paraId="4F5F1604"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09F03BB" w14:textId="77777777" w:rsidR="008E06D5" w:rsidRPr="00BC5284" w:rsidRDefault="008E06D5" w:rsidP="005040CF">
            <w:pPr>
              <w:pStyle w:val="TableText"/>
            </w:pPr>
            <w:r w:rsidRPr="00BC5284">
              <w:rPr>
                <w:rStyle w:val="TabletextBold"/>
                <w:rFonts w:cs="FreightSans Pro Bold"/>
                <w:bCs/>
              </w:rPr>
              <w:t xml:space="preserve">Classification: </w:t>
            </w:r>
            <w:r w:rsidRPr="00BC5284">
              <w:t>Metro Middle</w:t>
            </w:r>
          </w:p>
        </w:tc>
      </w:tr>
      <w:tr w:rsidR="008E06D5" w:rsidRPr="00BC5284" w14:paraId="6000F8BD"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DDC85AD" w14:textId="77777777" w:rsidR="008E06D5" w:rsidRPr="00BC5284" w:rsidRDefault="008E06D5" w:rsidP="005040CF">
            <w:pPr>
              <w:pStyle w:val="TableText"/>
            </w:pPr>
            <w:r w:rsidRPr="00BC5284">
              <w:rPr>
                <w:rStyle w:val="TabletextBold"/>
                <w:rFonts w:cs="FreightSans Pro Bold"/>
                <w:bCs/>
              </w:rPr>
              <w:t xml:space="preserve">LGA size: </w:t>
            </w:r>
            <w:r w:rsidRPr="00BC5284">
              <w:t>130km</w:t>
            </w:r>
            <w:r w:rsidRPr="00BC5284">
              <w:rPr>
                <w:vertAlign w:val="superscript"/>
              </w:rPr>
              <w:t>2</w:t>
            </w:r>
          </w:p>
        </w:tc>
      </w:tr>
      <w:tr w:rsidR="008E06D5" w:rsidRPr="00BC5284" w14:paraId="39E44138"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536206" w14:textId="77777777" w:rsidR="008E06D5" w:rsidRPr="00BC5284" w:rsidRDefault="008E06D5" w:rsidP="005040CF">
            <w:pPr>
              <w:pStyle w:val="TableText"/>
            </w:pPr>
            <w:r w:rsidRPr="00BC5284">
              <w:rPr>
                <w:rStyle w:val="TabletextBold"/>
                <w:rFonts w:cs="FreightSans Pro Bold"/>
                <w:bCs/>
              </w:rPr>
              <w:t xml:space="preserve">LGA population: </w:t>
            </w:r>
            <w:r w:rsidRPr="00BC5284">
              <w:t>141,845</w:t>
            </w:r>
          </w:p>
        </w:tc>
      </w:tr>
      <w:tr w:rsidR="008E06D5" w:rsidRPr="00BC5284" w14:paraId="0E4501FE"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4A6CE4D" w14:textId="77777777" w:rsidR="008E06D5" w:rsidRPr="00BC5284" w:rsidRDefault="008E06D5" w:rsidP="005040CF">
            <w:pPr>
              <w:pStyle w:val="TableText"/>
            </w:pPr>
            <w:r w:rsidRPr="00BC5284">
              <w:rPr>
                <w:rStyle w:val="TabletextBold"/>
                <w:rFonts w:cs="FreightSans Pro Bold"/>
                <w:bCs/>
              </w:rPr>
              <w:t xml:space="preserve">Number of HOs: </w:t>
            </w:r>
            <w:r w:rsidRPr="00BC5284">
              <w:t>71</w:t>
            </w:r>
          </w:p>
        </w:tc>
      </w:tr>
    </w:tbl>
    <w:p w14:paraId="086A3296" w14:textId="77777777" w:rsidR="008E06D5" w:rsidRDefault="008E06D5" w:rsidP="008E06D5">
      <w:pPr>
        <w:pStyle w:val="BasicParagraph"/>
      </w:pPr>
    </w:p>
    <w:p w14:paraId="6D2358A4" w14:textId="77777777" w:rsidR="008E06D5" w:rsidRDefault="008E06D5" w:rsidP="008E06D5">
      <w:pPr>
        <w:pStyle w:val="HeadingSubtitle2"/>
        <w:rPr>
          <w:rStyle w:val="TextBold"/>
          <w:rFonts w:cs="FreightText Pro Bold"/>
          <w:b/>
          <w:szCs w:val="20"/>
        </w:rPr>
      </w:pPr>
      <w:r>
        <w:rPr>
          <w:rStyle w:val="TextBold"/>
          <w:rFonts w:cs="FreightText Pro Bold"/>
          <w:b/>
          <w:szCs w:val="20"/>
        </w:rPr>
        <w:t>Frankston City Council is a metropolitan LGA located approximately 40km southeast of the Melbourne CBD. While the area that now comprises the City has a long post-contact history stretching as far back as the 1850s, it was not until the 1950s and 1960s that the area experienced significant population growth. As such, the City has a large number of post-war residential places. This case study was chosen because it highlights how one council managed to successfully protect its post-war heritage, a place-type that is challenging for many councils, as evidenced in the Figure 3.5.</w:t>
      </w:r>
    </w:p>
    <w:p w14:paraId="000C759B" w14:textId="77777777" w:rsidR="008E06D5" w:rsidRDefault="008E06D5" w:rsidP="008E06D5">
      <w:pPr>
        <w:pStyle w:val="HeadingSubtitle3-CaseStudy"/>
        <w:rPr>
          <w:color w:val="000000"/>
        </w:rPr>
      </w:pPr>
      <w:r>
        <w:rPr>
          <w:color w:val="000000"/>
        </w:rPr>
        <w:t>Issue</w:t>
      </w:r>
    </w:p>
    <w:p w14:paraId="79086FAE" w14:textId="77777777" w:rsidR="008E06D5" w:rsidRDefault="008E06D5" w:rsidP="008E06D5">
      <w:pPr>
        <w:pStyle w:val="Text-CaseStudy"/>
      </w:pPr>
      <w:r>
        <w:t>Frankston City Council had many post-war residential places that were unprotected and at risk of loss due to development pressures.</w:t>
      </w:r>
    </w:p>
    <w:p w14:paraId="53B16524" w14:textId="77777777" w:rsidR="008E06D5" w:rsidRDefault="008E06D5" w:rsidP="008E06D5">
      <w:pPr>
        <w:pStyle w:val="HeadingSubtitle3-CaseStudy"/>
        <w:rPr>
          <w:color w:val="000000"/>
        </w:rPr>
      </w:pPr>
      <w:r>
        <w:rPr>
          <w:color w:val="000000"/>
        </w:rPr>
        <w:t>Action</w:t>
      </w:r>
    </w:p>
    <w:p w14:paraId="5781F22A" w14:textId="77777777" w:rsidR="008E06D5" w:rsidRDefault="008E06D5" w:rsidP="008E06D5">
      <w:pPr>
        <w:pStyle w:val="Text-CaseStudy"/>
      </w:pPr>
      <w:r>
        <w:t xml:space="preserve">In 2009, one councillor pushed for recognition of the City’s post-war heritage. Frankston City Council commissioned Bryce Raworth Pty Ltd to undertake the </w:t>
      </w:r>
      <w:r>
        <w:rPr>
          <w:rStyle w:val="CaseStudytextitalics"/>
          <w:iCs/>
        </w:rPr>
        <w:t>Frankston City Post-War Modernist Heritage Study Stage I.</w:t>
      </w:r>
      <w:r>
        <w:t xml:space="preserve"> The study was completed in 2012 and recommended 16 places, dating from 1948 to 1977, for further heritage assessment. Frankston Council then commissioned Built Heritage Pty Ltd to undertake the stage two study. A total of 21 places were investigated, building on the 16 recommended in the stage one study. Of these 21 places, the stage two study recommended 17 for inclusion in the HO.</w:t>
      </w:r>
    </w:p>
    <w:p w14:paraId="2F34182A" w14:textId="77777777" w:rsidR="008E06D5" w:rsidRDefault="008E06D5" w:rsidP="008E06D5">
      <w:pPr>
        <w:pStyle w:val="Text-CaseStudy"/>
      </w:pPr>
      <w:r>
        <w:t>Frankston Council set about undertaking a planning scheme amendment to implement the study, which was not without its difficulties. Council received four objections and the amendment was split in two: Amendment C110 Part 1 dealt with the 13 places without objections; and Amendment C110 Part 2 dealt with the 4 places with objections. C100 Part 2 was heard at a Planning Panels hearing in October 2015. The objectors mostly questioned the heritage significance of the places and were concerned about the added expense and financial burden of the HO. The Panel ultimately agreed with Frankston Council that all four places warranted inclusion in the HO, albeit with some minor tweaks to curtilage.</w:t>
      </w:r>
    </w:p>
    <w:p w14:paraId="7C8FD41A" w14:textId="77777777" w:rsidR="008E06D5" w:rsidRDefault="008E06D5" w:rsidP="008E06D5">
      <w:pPr>
        <w:pStyle w:val="HeadingSubtitle3-CaseStudy"/>
        <w:rPr>
          <w:color w:val="000000"/>
        </w:rPr>
      </w:pPr>
      <w:r>
        <w:rPr>
          <w:color w:val="000000"/>
        </w:rPr>
        <w:t>Outcome</w:t>
      </w:r>
    </w:p>
    <w:p w14:paraId="34C8E946" w14:textId="77777777" w:rsidR="008E06D5" w:rsidRDefault="008E06D5" w:rsidP="008E06D5">
      <w:pPr>
        <w:pStyle w:val="Text-CaseStudy"/>
      </w:pPr>
      <w:r>
        <w:t>Amendment C110 Part 1 and Part 2 were approved and gazetted in January and February 2016, respectively. A total of 17 post-war places were added to the HO.</w:t>
      </w:r>
    </w:p>
    <w:p w14:paraId="1AA9F7C7" w14:textId="77777777" w:rsidR="008E06D5" w:rsidRDefault="008E06D5" w:rsidP="008E06D5">
      <w:pPr>
        <w:pStyle w:val="HeadingSubtitle3-CaseStudy"/>
        <w:rPr>
          <w:color w:val="000000"/>
        </w:rPr>
      </w:pPr>
      <w:r>
        <w:rPr>
          <w:color w:val="000000"/>
        </w:rPr>
        <w:t>Lessons</w:t>
      </w:r>
    </w:p>
    <w:p w14:paraId="05933C80" w14:textId="77777777" w:rsidR="008E06D5" w:rsidRDefault="008E06D5" w:rsidP="008E06D5">
      <w:pPr>
        <w:pStyle w:val="Text-CaseStudy"/>
      </w:pPr>
      <w:r>
        <w:lastRenderedPageBreak/>
        <w:t xml:space="preserve">Frankston City Council was fortunate to have a councillor advocating for the recognition of post-war heritage and the majority of those property owners affected did not object to the listing. However, the Council’s efforts offer some insights for others wishing to identify and protect their post-war heritage. A post-war heritage study can be commissioned with a tight scope to avoid a long, expensive project. It is estimated that Council spent a total of approximately $50,000 on the project, not including in-house staffing. Moreover, potential public backlash should not be a deterrent. The Panel agreed with Council’s position despite concerns from the public, as the heritage assessments were rigorous and supported the objectives of </w:t>
      </w:r>
      <w:r>
        <w:rPr>
          <w:spacing w:val="-2"/>
        </w:rPr>
        <w:t>planning in Victoria. The senior strategic planner responsible</w:t>
      </w:r>
      <w:r>
        <w:t xml:space="preserve"> for the project offered the following advice for councils wishing to undertake and implement post-war heritage studies: engage a consultant that specialises in post-war heritage and ‘just do it’ because ‘the fight is worth it’.</w:t>
      </w:r>
    </w:p>
    <w:p w14:paraId="7C84BE9B" w14:textId="77777777" w:rsidR="008E06D5" w:rsidRDefault="008E06D5" w:rsidP="008E06D5">
      <w:pPr>
        <w:pStyle w:val="HeadingSubtitle4-CaseStudyRefs"/>
        <w:rPr>
          <w:color w:val="000000"/>
        </w:rPr>
      </w:pPr>
      <w:r>
        <w:rPr>
          <w:color w:val="000000"/>
        </w:rPr>
        <w:t>References</w:t>
      </w:r>
    </w:p>
    <w:p w14:paraId="0B9144C9" w14:textId="77777777" w:rsidR="008E06D5" w:rsidRDefault="008E06D5" w:rsidP="008E06D5">
      <w:pPr>
        <w:pStyle w:val="ReferencesText-CaseStudy"/>
        <w:ind w:left="280" w:hanging="280"/>
      </w:pPr>
      <w:r>
        <w:t>•</w:t>
      </w:r>
      <w:r>
        <w:tab/>
        <w:t xml:space="preserve">Bryce Raworth Pty Ltd on behalf of Frankston City Council 2012, </w:t>
      </w:r>
      <w:r>
        <w:rPr>
          <w:i/>
          <w:iCs/>
        </w:rPr>
        <w:t>Frankston City Post-War Modernist Heritage Study Stage I</w:t>
      </w:r>
      <w:r>
        <w:t>, Frankston City Council, Melbourne.</w:t>
      </w:r>
    </w:p>
    <w:p w14:paraId="5F088BE3" w14:textId="77777777" w:rsidR="008E06D5" w:rsidRDefault="008E06D5" w:rsidP="008E06D5">
      <w:pPr>
        <w:pStyle w:val="ReferencesText-CaseStudy"/>
        <w:ind w:left="280" w:hanging="280"/>
      </w:pPr>
      <w:r>
        <w:t>•</w:t>
      </w:r>
      <w:r>
        <w:tab/>
        <w:t xml:space="preserve">Built Heritage Pty Ltd on behalf of Frankston City Council 2015, </w:t>
      </w:r>
      <w:r>
        <w:rPr>
          <w:i/>
          <w:iCs/>
        </w:rPr>
        <w:t>Frankston City Post-War Modernist Heritage Study Stage II</w:t>
      </w:r>
      <w:r>
        <w:t>, Frankston City Council, Melbourne.</w:t>
      </w:r>
    </w:p>
    <w:p w14:paraId="65EB7E7F" w14:textId="77777777" w:rsidR="008E06D5" w:rsidRDefault="008E06D5" w:rsidP="008E06D5">
      <w:pPr>
        <w:pStyle w:val="ReferencesText-CaseStudy"/>
        <w:ind w:left="280" w:hanging="280"/>
      </w:pPr>
    </w:p>
    <w:p w14:paraId="1660B1B8" w14:textId="77777777" w:rsidR="00605460" w:rsidRPr="0025698C" w:rsidRDefault="0025698C" w:rsidP="0025698C">
      <w:pPr>
        <w:pStyle w:val="CaseStudyHeading1"/>
        <w:rPr>
          <w:color w:val="000000"/>
          <w:spacing w:val="0"/>
          <w:sz w:val="32"/>
        </w:rPr>
      </w:pPr>
      <w:r w:rsidRPr="0025698C">
        <w:rPr>
          <w:color w:val="000000"/>
          <w:spacing w:val="0"/>
          <w:sz w:val="32"/>
        </w:rPr>
        <w:t xml:space="preserve">Case Study: </w:t>
      </w:r>
      <w:r w:rsidR="00605460" w:rsidRPr="0025698C">
        <w:rPr>
          <w:color w:val="000000"/>
          <w:spacing w:val="0"/>
          <w:sz w:val="32"/>
        </w:rPr>
        <w:t>Place-making approach to heritage –</w:t>
      </w:r>
      <w:r w:rsidRPr="0025698C">
        <w:rPr>
          <w:color w:val="000000"/>
          <w:spacing w:val="0"/>
          <w:sz w:val="32"/>
        </w:rPr>
        <w:t xml:space="preserve"> </w:t>
      </w:r>
      <w:r w:rsidR="00605460" w:rsidRPr="0025698C">
        <w:rPr>
          <w:color w:val="000000"/>
          <w:spacing w:val="0"/>
          <w:sz w:val="32"/>
        </w:rPr>
        <w:t>Pyrenees Shire Council</w:t>
      </w:r>
    </w:p>
    <w:p w14:paraId="168EA2AF" w14:textId="77777777" w:rsidR="00605460" w:rsidRDefault="00605460" w:rsidP="00605460">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605460" w:rsidRPr="00BC5284" w14:paraId="211A8DD8"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903C7F2" w14:textId="77777777" w:rsidR="00605460" w:rsidRPr="00BC5284" w:rsidRDefault="00605460" w:rsidP="005040CF">
            <w:pPr>
              <w:pStyle w:val="TableText"/>
            </w:pPr>
            <w:r w:rsidRPr="00BC5284">
              <w:rPr>
                <w:rStyle w:val="TabletextBold"/>
                <w:rFonts w:cs="FreightSans Pro Bold"/>
                <w:bCs/>
              </w:rPr>
              <w:t xml:space="preserve">Classification: </w:t>
            </w:r>
            <w:r w:rsidRPr="00BC5284">
              <w:t>Rural Small</w:t>
            </w:r>
          </w:p>
        </w:tc>
      </w:tr>
      <w:tr w:rsidR="00605460" w:rsidRPr="00BC5284" w14:paraId="7A12C906"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2C065EC" w14:textId="77777777" w:rsidR="00605460" w:rsidRPr="00BC5284" w:rsidRDefault="00605460" w:rsidP="005040CF">
            <w:pPr>
              <w:pStyle w:val="TableText"/>
            </w:pPr>
            <w:r w:rsidRPr="00BC5284">
              <w:rPr>
                <w:rStyle w:val="TabletextBold"/>
                <w:rFonts w:cs="FreightSans Pro Bold"/>
                <w:bCs/>
              </w:rPr>
              <w:t xml:space="preserve">LGA size: </w:t>
            </w:r>
            <w:r w:rsidRPr="00BC5284">
              <w:t>3,435km</w:t>
            </w:r>
            <w:r w:rsidRPr="00BC5284">
              <w:rPr>
                <w:vertAlign w:val="superscript"/>
              </w:rPr>
              <w:t>2</w:t>
            </w:r>
          </w:p>
        </w:tc>
      </w:tr>
      <w:tr w:rsidR="00605460" w:rsidRPr="00BC5284" w14:paraId="2F428B66"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DB6F785" w14:textId="77777777" w:rsidR="00605460" w:rsidRPr="00BC5284" w:rsidRDefault="00605460" w:rsidP="005040CF">
            <w:pPr>
              <w:pStyle w:val="TableText"/>
            </w:pPr>
            <w:r w:rsidRPr="00BC5284">
              <w:rPr>
                <w:rStyle w:val="TabletextBold"/>
                <w:rFonts w:cs="FreightSans Pro Bold"/>
                <w:bCs/>
              </w:rPr>
              <w:t xml:space="preserve">LGA population: </w:t>
            </w:r>
            <w:r w:rsidRPr="00BC5284">
              <w:t>7,353</w:t>
            </w:r>
          </w:p>
        </w:tc>
      </w:tr>
      <w:tr w:rsidR="00605460" w:rsidRPr="00BC5284" w14:paraId="10FB8F42"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6EA98FB" w14:textId="77777777" w:rsidR="00605460" w:rsidRPr="00BC5284" w:rsidRDefault="00605460" w:rsidP="005040CF">
            <w:pPr>
              <w:pStyle w:val="TableText"/>
            </w:pPr>
            <w:r w:rsidRPr="00BC5284">
              <w:rPr>
                <w:rStyle w:val="TabletextBold"/>
                <w:rFonts w:cs="FreightSans Pro Bold"/>
                <w:bCs/>
              </w:rPr>
              <w:t xml:space="preserve">Number of HOs: </w:t>
            </w:r>
            <w:r w:rsidRPr="00BC5284">
              <w:t>98</w:t>
            </w:r>
          </w:p>
        </w:tc>
      </w:tr>
    </w:tbl>
    <w:p w14:paraId="1DB381B0" w14:textId="77777777" w:rsidR="00605460" w:rsidRDefault="00605460" w:rsidP="00605460">
      <w:pPr>
        <w:pStyle w:val="BasicParagraph"/>
      </w:pPr>
    </w:p>
    <w:p w14:paraId="0A8304F2" w14:textId="77777777" w:rsidR="00605460" w:rsidRDefault="00605460" w:rsidP="00605460">
      <w:pPr>
        <w:pStyle w:val="HeadingSubtitle3-CaseStudy"/>
        <w:rPr>
          <w:rStyle w:val="TextBold"/>
          <w:rFonts w:cs="FreightText Pro Bold"/>
          <w:b/>
          <w:szCs w:val="20"/>
        </w:rPr>
      </w:pPr>
      <w:r>
        <w:rPr>
          <w:rStyle w:val="TextBold"/>
          <w:rFonts w:cs="FreightText Pro Bold"/>
          <w:b/>
          <w:szCs w:val="20"/>
        </w:rPr>
        <w:t xml:space="preserve">Pyrenees Shire Council is a small, rural LGA located approximately 130km northwest of Melbourne. Despite a post-contact history that stretches back to the gold rush, the Shire is not particularly well known for its heritage, nor is much of its heritage protected. Pyrenees Shire Council is aiming to change that with the innovative project, Pyrenees Futures. </w:t>
      </w:r>
    </w:p>
    <w:p w14:paraId="5F6180BE" w14:textId="77777777" w:rsidR="00605460" w:rsidRDefault="00605460" w:rsidP="00605460">
      <w:pPr>
        <w:pStyle w:val="HeadingSubtitle3-CaseStudy"/>
        <w:rPr>
          <w:color w:val="000000"/>
        </w:rPr>
      </w:pPr>
      <w:r>
        <w:rPr>
          <w:color w:val="000000"/>
        </w:rPr>
        <w:t>Issue</w:t>
      </w:r>
    </w:p>
    <w:p w14:paraId="3A94E825" w14:textId="77777777" w:rsidR="00605460" w:rsidRDefault="00605460" w:rsidP="00605460">
      <w:pPr>
        <w:pStyle w:val="Text-CaseStudy"/>
      </w:pPr>
      <w:r>
        <w:t>The towns of the Pyrenees Shire Council were experiencing population change: some towns were facing peri-urban growth pressure, while others were facing population decline. However, the planning policies affecting many of these towns had not been updated since the introduction of new format planning schemes in 1998. The Pyrenees Shire Council was in desperate need to undertake strategic planning work to accommodate changes in local dynamics and contemporary planning practice.</w:t>
      </w:r>
    </w:p>
    <w:p w14:paraId="7D9A953A" w14:textId="77777777" w:rsidR="00605460" w:rsidRDefault="00605460" w:rsidP="00605460">
      <w:pPr>
        <w:pStyle w:val="HeadingSubtitle3-CaseStudy"/>
        <w:rPr>
          <w:color w:val="000000"/>
        </w:rPr>
      </w:pPr>
      <w:r>
        <w:rPr>
          <w:color w:val="000000"/>
        </w:rPr>
        <w:t>Action</w:t>
      </w:r>
    </w:p>
    <w:p w14:paraId="2E5BBE58" w14:textId="77777777" w:rsidR="00605460" w:rsidRDefault="00605460" w:rsidP="00605460">
      <w:pPr>
        <w:pStyle w:val="Text-CaseStudy"/>
      </w:pPr>
      <w:r>
        <w:t>A team of council officers persuaded the Pyrenees Shire Council to undertake Pyrenees Futures, a place-based approach to the strategic planning of its towns. The project aims to use the strengths and unique characteristics of each of the nine participating towns to guide their future growth. The approach involves working with the community through a range of forums to understand what makes each town its own special place and then creating framework plans to ensure future development, both private and public, complements and enhances the feel of the town. The plans include recommended strategic planning actions, such as the rezoning of land for development, and quick, low-cost public urban design works, such as public seating. To date, three framework plans have been completed, with the rest in either a draft format or the consultation process.</w:t>
      </w:r>
    </w:p>
    <w:p w14:paraId="10A1FB95" w14:textId="77777777" w:rsidR="00605460" w:rsidRDefault="00605460" w:rsidP="00605460">
      <w:pPr>
        <w:pStyle w:val="Text-CaseStudy"/>
      </w:pPr>
      <w:r>
        <w:t xml:space="preserve">Heritage was identified as an important aspect of what makes each town unique, in terms of interactions between history, place attachment, building environment and natural assets, which contributes to its overall feel. As such, each framework identifies and assesses what heritage assets each town has and what protections, if any, are in place. Some have recognised that no heritage protections exist and have recommended that heritage studies be undertaken as a matter of urgency, while others have identified that adequate protections exist but that more guidance and support on maintaining heritage places is needed for the owners. The project acts, in a sense, like a mini heritage strategy, identifying heritage actions to be completed by the Council. The plans also seek </w:t>
      </w:r>
      <w:r>
        <w:lastRenderedPageBreak/>
        <w:t>to entwine heritage within the overall fabric of place, rather than looking at it as something separate from place.</w:t>
      </w:r>
    </w:p>
    <w:p w14:paraId="313D2CCA" w14:textId="77777777" w:rsidR="00605460" w:rsidRDefault="00605460" w:rsidP="00605460">
      <w:pPr>
        <w:pStyle w:val="HeadingSubtitle3-CaseStudy"/>
        <w:rPr>
          <w:color w:val="000000"/>
        </w:rPr>
      </w:pPr>
      <w:r>
        <w:rPr>
          <w:color w:val="000000"/>
        </w:rPr>
        <w:t>Outcome</w:t>
      </w:r>
    </w:p>
    <w:p w14:paraId="12EC1AED" w14:textId="77777777" w:rsidR="00605460" w:rsidRDefault="00605460" w:rsidP="00605460">
      <w:pPr>
        <w:pStyle w:val="Text-CaseStudy"/>
      </w:pPr>
      <w:r>
        <w:t>The identification of actions in the framework plans is a crucial first step in appropriately accommodating population change and protecting local heritage. While resourcing the implementation of these actions will be difficult for the Shire with its small rate base, the introduction of framework plans shows a commitment to incorporating heritage into place-making and planning for the long-term future of the area.</w:t>
      </w:r>
    </w:p>
    <w:p w14:paraId="06D1ABE6" w14:textId="77777777" w:rsidR="00605460" w:rsidRDefault="00605460" w:rsidP="00605460">
      <w:pPr>
        <w:pStyle w:val="HeadingSubtitle3-CaseStudy"/>
        <w:rPr>
          <w:color w:val="000000"/>
        </w:rPr>
      </w:pPr>
      <w:r>
        <w:rPr>
          <w:color w:val="000000"/>
        </w:rPr>
        <w:t>Lessons</w:t>
      </w:r>
    </w:p>
    <w:p w14:paraId="34BC5A11" w14:textId="77777777" w:rsidR="00605460" w:rsidRDefault="00605460" w:rsidP="00605460">
      <w:pPr>
        <w:pStyle w:val="Text-CaseStudy"/>
      </w:pPr>
      <w:r>
        <w:t>A resource-constrained council has devised an innovative way to ensure change is accommodated appropriately and in doing so, that heritage assets are protected. A place-based approached engages the community to recognise the role heritage plays in contributing to the feel and identity of an area. Heritage therefore becomes embedded as a significant component and driver of present associations of place attachment, and a catalyst for sustainable future development. Community ownership of heritage is key to its long-term recognition and protection.</w:t>
      </w:r>
    </w:p>
    <w:p w14:paraId="38D80AE7" w14:textId="77777777" w:rsidR="00BC5284" w:rsidRDefault="00BC5284">
      <w:pPr>
        <w:pStyle w:val="Headingsubtitle1"/>
        <w:rPr>
          <w:color w:val="000000"/>
        </w:rPr>
      </w:pPr>
      <w:r>
        <w:rPr>
          <w:color w:val="000000"/>
        </w:rPr>
        <w:t>3.4 Protecting local heritage</w:t>
      </w:r>
    </w:p>
    <w:p w14:paraId="532719C2" w14:textId="77777777" w:rsidR="00BC5284" w:rsidRDefault="00BC5284">
      <w:pPr>
        <w:pStyle w:val="Text"/>
      </w:pPr>
      <w:r>
        <w:t>After individual places and precincts of heritage significance have been identified, the next step involves securing statutory protection for those places and developing appropriate procedures to manage their conservation.</w:t>
      </w:r>
    </w:p>
    <w:p w14:paraId="1E13F927" w14:textId="77777777" w:rsidR="00BC5284" w:rsidRDefault="00BC5284">
      <w:pPr>
        <w:pStyle w:val="HeadingSubtitle2"/>
        <w:rPr>
          <w:color w:val="000000"/>
        </w:rPr>
      </w:pPr>
      <w:r>
        <w:rPr>
          <w:color w:val="000000"/>
        </w:rPr>
        <w:t>The Heritage Overlay</w:t>
      </w:r>
    </w:p>
    <w:p w14:paraId="7F4A0031" w14:textId="77777777" w:rsidR="00BC5284" w:rsidRDefault="00BC5284">
      <w:pPr>
        <w:pStyle w:val="Text"/>
      </w:pPr>
      <w:r>
        <w:t xml:space="preserve">The Heritage Overlay is the main mechanism by which individual places or precincts that have been identified through heritage studies or one-off assessments as being of local significance can be protected. The HO, which is specified in the Victoria Planning Provisions (VPP), controls how an individual place or </w:t>
      </w:r>
      <w:r>
        <w:rPr>
          <w:spacing w:val="-2"/>
        </w:rPr>
        <w:t>precinct may be developed in order to conserve the heritage</w:t>
      </w:r>
      <w:r>
        <w:t xml:space="preserve"> significance of that place. Planning authorities – councils and the State Government for its special planning areas – have to amend their planning schemes to apply the HO. </w:t>
      </w:r>
    </w:p>
    <w:p w14:paraId="54F64C63" w14:textId="77777777" w:rsidR="00BC5284" w:rsidRDefault="00BC5284">
      <w:pPr>
        <w:pStyle w:val="Text"/>
      </w:pPr>
      <w:r>
        <w:t xml:space="preserve">Since 31 July 2018, a statement of significance – a short statement about what, how and why a place or precinct is </w:t>
      </w:r>
      <w:r>
        <w:rPr>
          <w:spacing w:val="-2"/>
        </w:rPr>
        <w:t>significant – must be incorporated into the planning scheme.</w:t>
      </w:r>
      <w:r>
        <w:t xml:space="preserve"> Prior to this date, statements of significance were located </w:t>
      </w:r>
      <w:r>
        <w:rPr>
          <w:spacing w:val="-2"/>
        </w:rPr>
        <w:t>in heritage studies, which were usually reference documents</w:t>
      </w:r>
      <w:r>
        <w:t xml:space="preserve"> to the planning scheme. This change has implications for those councils who have older heritage studies that have not yet been translated into the planning schemes.</w:t>
      </w:r>
    </w:p>
    <w:p w14:paraId="07DD6416" w14:textId="77777777" w:rsidR="00BC5284" w:rsidRDefault="00BC5284">
      <w:pPr>
        <w:pStyle w:val="Text"/>
      </w:pPr>
      <w:r>
        <w:t xml:space="preserve">Under the HO, a planning permit is required for subdivision or demolition and for most development. The HO does not prevent development but rather tries to ensure that development is sympathetic to the heritage significance of a place. The HO is also applied to places in the VHR. However, these places are subject to the requirements of the </w:t>
      </w:r>
      <w:r>
        <w:rPr>
          <w:rStyle w:val="TextItalic"/>
          <w:iCs/>
        </w:rPr>
        <w:t>Heritage Act 2017</w:t>
      </w:r>
      <w:r>
        <w:t>, not the HO, and are managed by Heritage Victoria. As mentioned earlier, councils may seek an Interim Heritage Overlay to protect a heritage place or precinct for a prescribed length of time, enabling councils to then amend their planning scheme to make the HO permanent.</w:t>
      </w:r>
    </w:p>
    <w:p w14:paraId="5355459B" w14:textId="77777777" w:rsidR="00BC5284" w:rsidRDefault="00BC5284">
      <w:pPr>
        <w:pStyle w:val="HeadingSubtitle3"/>
        <w:rPr>
          <w:color w:val="000000"/>
        </w:rPr>
      </w:pPr>
      <w:r>
        <w:rPr>
          <w:color w:val="000000"/>
        </w:rPr>
        <w:t>Number of Heritage Overlays</w:t>
      </w:r>
    </w:p>
    <w:p w14:paraId="095C2C32" w14:textId="77777777" w:rsidR="00BC5284" w:rsidRDefault="00BC5284">
      <w:pPr>
        <w:pStyle w:val="Text"/>
      </w:pPr>
      <w:r>
        <w:t>Data was collected on the number of Heritage Overlays in Victoria and is presented in Figure 3.6. It is important to note that this data is from 5 April 2019 and that the number of HOs is constantly changing, as new HOs are applied. There is a small margin of error with the number of precinct places, as these are often not clearly identified as such in planning schemes.</w:t>
      </w:r>
    </w:p>
    <w:p w14:paraId="30182852" w14:textId="77777777" w:rsidR="00BC5284" w:rsidRDefault="00BC5284">
      <w:pPr>
        <w:pStyle w:val="Text"/>
      </w:pPr>
      <w:r>
        <w:t>Data was also collected on the number of properties covered by a HO in Victoria and is presented in Figure 3.7. The State Government has spatial mapping software that documents planning controls as polygons over a base property map. Property data was collected by counting all properties in the State covered by a HO polygon. There is a small margin of error, as this method is only as accurate as the HO polygons. Nevertheless, it provides a valuable indication of the number of heritage-listed properties in the State.</w:t>
      </w:r>
      <w:r>
        <w:t> </w:t>
      </w:r>
    </w:p>
    <w:p w14:paraId="29CFA76F" w14:textId="77777777" w:rsidR="00BC5284" w:rsidRDefault="00BC5284">
      <w:pPr>
        <w:pStyle w:val="HeadingSubtitle4"/>
        <w:rPr>
          <w:color w:val="000000"/>
        </w:rPr>
      </w:pPr>
      <w:r>
        <w:rPr>
          <w:color w:val="000000"/>
        </w:rPr>
        <w:t>Key findings</w:t>
      </w:r>
    </w:p>
    <w:p w14:paraId="1E571868" w14:textId="77777777" w:rsidR="00BC5284" w:rsidRDefault="00BC5284">
      <w:pPr>
        <w:pStyle w:val="TextBulletsPara"/>
      </w:pPr>
      <w:r>
        <w:rPr>
          <w:rStyle w:val="TextBullet"/>
        </w:rPr>
        <w:t>•</w:t>
      </w:r>
      <w:r>
        <w:rPr>
          <w:rStyle w:val="TextBullet"/>
        </w:rPr>
        <w:tab/>
      </w:r>
      <w:r>
        <w:t>There are 21,419 Heritage Overlays in Victoria</w:t>
      </w:r>
    </w:p>
    <w:p w14:paraId="0E500169" w14:textId="77777777" w:rsidR="00BC5284" w:rsidRDefault="00BC5284">
      <w:pPr>
        <w:pStyle w:val="Text"/>
      </w:pPr>
      <w:r>
        <w:tab/>
        <w:t>–</w:t>
      </w:r>
      <w:r>
        <w:tab/>
        <w:t>2,323 are for State significant places in the VHR</w:t>
      </w:r>
    </w:p>
    <w:p w14:paraId="2E52D264" w14:textId="77777777" w:rsidR="00BC5284" w:rsidRDefault="00BC5284">
      <w:pPr>
        <w:pStyle w:val="Text"/>
      </w:pPr>
      <w:r>
        <w:tab/>
        <w:t>–</w:t>
      </w:r>
      <w:r>
        <w:tab/>
        <w:t>19,095 are for places of local significance:</w:t>
      </w:r>
    </w:p>
    <w:p w14:paraId="3A5E177A" w14:textId="77777777" w:rsidR="00BC5284" w:rsidRDefault="00BC5284">
      <w:pPr>
        <w:pStyle w:val="TextBulletsPara"/>
      </w:pPr>
      <w:r>
        <w:rPr>
          <w:rStyle w:val="TextBullet"/>
        </w:rPr>
        <w:t>•</w:t>
      </w:r>
      <w:r>
        <w:rPr>
          <w:rStyle w:val="TextBullet"/>
        </w:rPr>
        <w:tab/>
      </w:r>
      <w:r>
        <w:t>17,992 of these are individual places</w:t>
      </w:r>
    </w:p>
    <w:p w14:paraId="46B7724B" w14:textId="77777777" w:rsidR="00BC5284" w:rsidRDefault="00BC5284">
      <w:pPr>
        <w:pStyle w:val="TextBulletsPara"/>
      </w:pPr>
      <w:r>
        <w:rPr>
          <w:rStyle w:val="TextBullet"/>
        </w:rPr>
        <w:lastRenderedPageBreak/>
        <w:t>•</w:t>
      </w:r>
      <w:r>
        <w:rPr>
          <w:rStyle w:val="TextBullet"/>
        </w:rPr>
        <w:tab/>
      </w:r>
      <w:r>
        <w:t>1,103 of these are precincts</w:t>
      </w:r>
    </w:p>
    <w:p w14:paraId="06A89253" w14:textId="77777777" w:rsidR="00BC5284" w:rsidRDefault="00BC5284">
      <w:pPr>
        <w:pStyle w:val="TextBulletsPara"/>
      </w:pPr>
      <w:r>
        <w:rPr>
          <w:rStyle w:val="TextBullet"/>
        </w:rPr>
        <w:t>•</w:t>
      </w:r>
      <w:r>
        <w:rPr>
          <w:rStyle w:val="TextBullet"/>
        </w:rPr>
        <w:tab/>
      </w:r>
      <w:r>
        <w:t>Every council has at least one HO but the number of HOs varies considerably between councils – the Greater Geelong City Council had the most with more than 1,200; the West Wimmera Shire Council had the least with fewer than 20.</w:t>
      </w:r>
    </w:p>
    <w:p w14:paraId="0C021CEC" w14:textId="77777777" w:rsidR="00BC5284" w:rsidRDefault="00BC5284">
      <w:pPr>
        <w:pStyle w:val="TextBulletsPara"/>
      </w:pPr>
      <w:r>
        <w:rPr>
          <w:rStyle w:val="TextBullet"/>
        </w:rPr>
        <w:t>•</w:t>
      </w:r>
      <w:r>
        <w:rPr>
          <w:rStyle w:val="TextBullet"/>
        </w:rPr>
        <w:tab/>
      </w:r>
      <w:r>
        <w:t>There are more than 186,000 properties covered by a HO in Victoria.</w:t>
      </w:r>
    </w:p>
    <w:p w14:paraId="481C4800" w14:textId="77777777" w:rsidR="00BC5284" w:rsidRDefault="00BC5284">
      <w:pPr>
        <w:pStyle w:val="TextBulletsPara"/>
      </w:pPr>
      <w:r>
        <w:rPr>
          <w:rStyle w:val="TextBullet"/>
        </w:rPr>
        <w:t>•</w:t>
      </w:r>
      <w:r>
        <w:rPr>
          <w:rStyle w:val="TextBullet"/>
        </w:rPr>
        <w:tab/>
      </w:r>
      <w:r>
        <w:t>The number of properties covered also varies considerably between councils – Yarra City Council has the most with more than 22,000; West Wimmera Shire Council has the least with fewer than 20.</w:t>
      </w:r>
    </w:p>
    <w:p w14:paraId="0002FFAC" w14:textId="77777777" w:rsidR="00BC5284" w:rsidRDefault="00BC5284">
      <w:pPr>
        <w:pStyle w:val="TextBulletsPara"/>
      </w:pPr>
      <w:r>
        <w:rPr>
          <w:rStyle w:val="TextBullet"/>
        </w:rPr>
        <w:t>•</w:t>
      </w:r>
      <w:r>
        <w:rPr>
          <w:rStyle w:val="TextBullet"/>
        </w:rPr>
        <w:tab/>
      </w:r>
      <w:r>
        <w:t>There is some correlation between the number of HOs and the number of properties covered by a HO. However, this is largely dependent on the type of HO – the use of precincts results in a lower number of HOs and a greater number of properties covered.</w:t>
      </w:r>
    </w:p>
    <w:p w14:paraId="0E170A88" w14:textId="77777777" w:rsidR="00BC5284" w:rsidRDefault="00BC5284">
      <w:pPr>
        <w:pStyle w:val="Text"/>
      </w:pPr>
      <w:r>
        <w:t>The data reveals a spectrum of HOs and heritage properties across Victoria. There are councils with much heritage protected, just as there are councils with little protected. This variation is common to both metropolitan and rural councils. The variation could be attributed to a number of factors, from the amount of locally significant heritage in each LGA to a council’s willingness and ability to undertake and implement heritage studies.</w:t>
      </w:r>
    </w:p>
    <w:p w14:paraId="24FBBADB" w14:textId="77777777" w:rsidR="00BC5284" w:rsidRDefault="00BC5284">
      <w:pPr>
        <w:pStyle w:val="FigureTitleandnumbernounderline"/>
      </w:pPr>
      <w:r>
        <w:t>Figure 3.6 Number of Heritage Overlays in Victoria</w:t>
      </w:r>
      <w:r w:rsidR="0059510D">
        <w:br/>
      </w:r>
      <w:r>
        <w:t>Figure 3.7 Number of Heritage Overlay properties in Victoria</w:t>
      </w:r>
    </w:p>
    <w:p w14:paraId="683C34BE" w14:textId="77777777" w:rsidR="00BC5284" w:rsidRDefault="00BC5284">
      <w:pPr>
        <w:pStyle w:val="HeadingSubtitle2"/>
        <w:rPr>
          <w:color w:val="000000"/>
        </w:rPr>
      </w:pPr>
      <w:r>
        <w:rPr>
          <w:color w:val="000000"/>
        </w:rPr>
        <w:t>Planning Scheme Amendments</w:t>
      </w:r>
    </w:p>
    <w:p w14:paraId="68C042A9" w14:textId="77777777" w:rsidR="00BC5284" w:rsidRDefault="00BC5284">
      <w:pPr>
        <w:pStyle w:val="Text"/>
      </w:pPr>
      <w:r>
        <w:t>The application of a Heritage Overlay requires an amendment to the planning scheme. The planning scheme amendment process is lengthy and involves constant collaboration between councils and the Minister for Planning through the DELWP Planning Group. It requires the Minister to authorise a planning authority to undertake the amendment. The amendment must then be placed on exhibition, usually for at least one month. Interested parties may make submissions on the amendment. If objecting submissions cannot be resolved by the council, the Minister appoints an independent planning panel from Planning Panels Victoria (PPV) to consider submissions. The panel will provide a report responding to the submissions. In the 2018–19 Financial Year, 37% of all PPV matters were heritage-related.</w:t>
      </w:r>
      <w:r w:rsidR="00B84B42">
        <w:rPr>
          <w:rStyle w:val="FootnoteReference"/>
        </w:rPr>
        <w:footnoteReference w:id="9"/>
      </w:r>
      <w:r w:rsidR="00B84B42">
        <w:rPr>
          <w:vertAlign w:val="superscript"/>
        </w:rPr>
        <w:t xml:space="preserve"> </w:t>
      </w:r>
      <w:r>
        <w:t>A planning authority can decide to adopt an amendment, or part of it, with or without changes, or abandon the amendment entirely. The Minister for Planning then decides whether or not to approve the amendment in its final form. The process from undertaking a heritage study to implementing it through a planning scheme amendment can take several years.</w:t>
      </w:r>
    </w:p>
    <w:p w14:paraId="15775F1C" w14:textId="77777777" w:rsidR="00BC5284" w:rsidRDefault="00BC5284">
      <w:pPr>
        <w:pStyle w:val="Text"/>
      </w:pPr>
      <w:r>
        <w:t>Data has been collected on the planning scheme amendment process, despite an analysis of the regulatory planning framework being out of the Review’s scope. Figure 3.8 shows the councils that have translated all of their heritage studies into the HO.</w:t>
      </w:r>
      <w:r w:rsidR="00B84B42">
        <w:rPr>
          <w:rStyle w:val="FootnoteReference"/>
        </w:rPr>
        <w:footnoteReference w:id="10"/>
      </w:r>
      <w:r w:rsidR="00B84B42">
        <w:rPr>
          <w:rFonts w:ascii="FreightSans Pro Medium" w:hAnsi="FreightSans Pro Medium" w:cs="FreightSans Pro Medium"/>
          <w:sz w:val="16"/>
          <w:szCs w:val="16"/>
        </w:rPr>
        <w:t xml:space="preserve"> </w:t>
      </w:r>
      <w:r>
        <w:rPr>
          <w:rFonts w:ascii="FreightSans Pro Medium" w:hAnsi="FreightSans Pro Medium" w:cs="FreightSans Pro Medium"/>
          <w:sz w:val="16"/>
          <w:szCs w:val="16"/>
        </w:rPr>
        <w:br/>
      </w:r>
      <w:r>
        <w:t xml:space="preserve">Figure 3.9 shows the most </w:t>
      </w:r>
      <w:r>
        <w:rPr>
          <w:spacing w:val="-2"/>
        </w:rPr>
        <w:t>common difficulties councils have reported they experienced</w:t>
      </w:r>
      <w:r>
        <w:t xml:space="preserve"> during the planning scheme amendment process. </w:t>
      </w:r>
    </w:p>
    <w:p w14:paraId="530EACD7" w14:textId="77777777" w:rsidR="00BC5284" w:rsidRDefault="00BC5284">
      <w:pPr>
        <w:pStyle w:val="Text"/>
      </w:pPr>
      <w:r>
        <w:t>The purpose of including this data is to discover what assistance could be provided to councils to aid the process.</w:t>
      </w:r>
    </w:p>
    <w:p w14:paraId="7509A10C" w14:textId="77777777" w:rsidR="0059510D" w:rsidRDefault="0059510D" w:rsidP="0059510D">
      <w:pPr>
        <w:pStyle w:val="FigureTitleandnumbernounderline"/>
      </w:pPr>
      <w:r>
        <w:t>Figure 3.8 Heritage study translation gaps</w:t>
      </w:r>
      <w:r>
        <w:br/>
        <w:t>Figure 3.9 Difficulties experienced translating heritage studies</w:t>
      </w:r>
    </w:p>
    <w:p w14:paraId="0D744D9C" w14:textId="77777777" w:rsidR="00BC5284" w:rsidRDefault="00BC5284">
      <w:pPr>
        <w:pStyle w:val="HeadingSubtitle3"/>
        <w:rPr>
          <w:color w:val="000000"/>
        </w:rPr>
      </w:pPr>
      <w:r>
        <w:rPr>
          <w:color w:val="000000"/>
        </w:rPr>
        <w:t>Key findings</w:t>
      </w:r>
    </w:p>
    <w:p w14:paraId="41D22413" w14:textId="77777777" w:rsidR="00BC5284" w:rsidRDefault="00BC5284">
      <w:pPr>
        <w:pStyle w:val="TextBulletsPara"/>
      </w:pPr>
      <w:r>
        <w:rPr>
          <w:rStyle w:val="TextBullet"/>
        </w:rPr>
        <w:t>•</w:t>
      </w:r>
      <w:r>
        <w:rPr>
          <w:rStyle w:val="TextBullet"/>
        </w:rPr>
        <w:tab/>
      </w:r>
      <w:r>
        <w:t>More than half of all councils (58%) have translated all of their heritage studies into the HO. This is fairly consistent across all council groups. The rest of the councils are in the process of translating their heritage studies or have not yet translated their heritage studies. Nearly 10% of all councils are yet to translate a stage two heritage study into the HO.</w:t>
      </w:r>
    </w:p>
    <w:p w14:paraId="35BED4E7" w14:textId="77777777" w:rsidR="00BC5284" w:rsidRDefault="00BC5284">
      <w:pPr>
        <w:pStyle w:val="TextBulletsPara"/>
      </w:pPr>
      <w:r>
        <w:rPr>
          <w:rStyle w:val="TextBullet"/>
        </w:rPr>
        <w:t>•</w:t>
      </w:r>
      <w:r>
        <w:rPr>
          <w:rStyle w:val="TextBullet"/>
        </w:rPr>
        <w:tab/>
      </w:r>
      <w:r>
        <w:t>The most common difficulties experienced when translating heritage studies is opposition from property owners (44%), the expense of administering an amendment (33%) and a lack of political will within councils (24%). Opposition from property owners was the biggest obstacle for metropolitan councils, while the expense was the biggest one for rural councils.</w:t>
      </w:r>
    </w:p>
    <w:p w14:paraId="74FA8040" w14:textId="77777777" w:rsidR="00BC5284" w:rsidRDefault="00BC5284">
      <w:pPr>
        <w:pStyle w:val="Text"/>
      </w:pPr>
      <w:r>
        <w:t xml:space="preserve">The data reveals the intricacies of the planning scheme amendment process. Councils experience many difficulties during the lengthy amendment process, which contributes to many councils not having translated all of their heritage studies into the HO. The </w:t>
      </w:r>
      <w:r>
        <w:lastRenderedPageBreak/>
        <w:t>data also offers insight into the two key areas in which assistance could be provided to councils to aid the amendment process.</w:t>
      </w:r>
    </w:p>
    <w:p w14:paraId="49170B63" w14:textId="77777777" w:rsidR="008E06D5" w:rsidRDefault="008E06D5">
      <w:pPr>
        <w:pStyle w:val="Text"/>
      </w:pPr>
    </w:p>
    <w:p w14:paraId="141CC3C9" w14:textId="77777777" w:rsidR="00605460" w:rsidRPr="0025698C" w:rsidRDefault="0025698C" w:rsidP="0025698C">
      <w:pPr>
        <w:pStyle w:val="CaseStudyHeading1"/>
        <w:rPr>
          <w:color w:val="000000"/>
          <w:spacing w:val="0"/>
          <w:sz w:val="32"/>
        </w:rPr>
      </w:pPr>
      <w:r w:rsidRPr="0025698C">
        <w:rPr>
          <w:color w:val="000000"/>
          <w:spacing w:val="0"/>
          <w:sz w:val="32"/>
        </w:rPr>
        <w:t xml:space="preserve">Case Study: </w:t>
      </w:r>
      <w:r w:rsidR="00605460" w:rsidRPr="0025698C">
        <w:rPr>
          <w:color w:val="000000"/>
          <w:spacing w:val="0"/>
          <w:sz w:val="32"/>
        </w:rPr>
        <w:t>Heritage study implementation – Yarra City Council</w:t>
      </w:r>
    </w:p>
    <w:p w14:paraId="2E8FC24C" w14:textId="77777777" w:rsidR="00605460" w:rsidRDefault="00605460" w:rsidP="00605460">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605460" w:rsidRPr="00BC5284" w14:paraId="7A8F4E65"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C1DB400" w14:textId="77777777" w:rsidR="00605460" w:rsidRPr="00BC5284" w:rsidRDefault="00605460" w:rsidP="005040CF">
            <w:pPr>
              <w:pStyle w:val="TableText"/>
            </w:pPr>
            <w:r w:rsidRPr="00BC5284">
              <w:rPr>
                <w:rStyle w:val="TabletextBold"/>
                <w:rFonts w:cs="FreightSans Pro Bold"/>
                <w:bCs/>
              </w:rPr>
              <w:t xml:space="preserve">Classification: </w:t>
            </w:r>
            <w:r w:rsidRPr="00BC5284">
              <w:t>Metro Inner</w:t>
            </w:r>
          </w:p>
        </w:tc>
      </w:tr>
      <w:tr w:rsidR="00605460" w:rsidRPr="00BC5284" w14:paraId="5A263F98"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6BF7632" w14:textId="77777777" w:rsidR="00605460" w:rsidRPr="00BC5284" w:rsidRDefault="00605460" w:rsidP="005040CF">
            <w:pPr>
              <w:pStyle w:val="TableText"/>
            </w:pPr>
            <w:r w:rsidRPr="00BC5284">
              <w:rPr>
                <w:rStyle w:val="TabletextBold"/>
                <w:rFonts w:cs="FreightSans Pro Bold"/>
                <w:bCs/>
              </w:rPr>
              <w:t xml:space="preserve">LGA size: </w:t>
            </w:r>
            <w:r w:rsidRPr="00BC5284">
              <w:t>20km</w:t>
            </w:r>
            <w:r w:rsidRPr="00BC5284">
              <w:rPr>
                <w:vertAlign w:val="superscript"/>
              </w:rPr>
              <w:t>2</w:t>
            </w:r>
          </w:p>
        </w:tc>
      </w:tr>
      <w:tr w:rsidR="00605460" w:rsidRPr="00BC5284" w14:paraId="46A7A2AA"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862857C" w14:textId="77777777" w:rsidR="00605460" w:rsidRPr="00BC5284" w:rsidRDefault="00605460" w:rsidP="005040CF">
            <w:pPr>
              <w:pStyle w:val="TableText"/>
            </w:pPr>
            <w:r w:rsidRPr="00BC5284">
              <w:rPr>
                <w:rStyle w:val="TabletextBold"/>
                <w:rFonts w:cs="FreightSans Pro Bold"/>
                <w:bCs/>
              </w:rPr>
              <w:t xml:space="preserve">LGA population: </w:t>
            </w:r>
            <w:r w:rsidRPr="00BC5284">
              <w:t>98,521</w:t>
            </w:r>
          </w:p>
        </w:tc>
      </w:tr>
      <w:tr w:rsidR="00605460" w:rsidRPr="00BC5284" w14:paraId="424C7BBF"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8182B93" w14:textId="77777777" w:rsidR="00605460" w:rsidRPr="00BC5284" w:rsidRDefault="00605460" w:rsidP="005040CF">
            <w:pPr>
              <w:pStyle w:val="TableText"/>
            </w:pPr>
            <w:r w:rsidRPr="00BC5284">
              <w:rPr>
                <w:rStyle w:val="TabletextBold"/>
                <w:rFonts w:cs="FreightSans Pro Bold"/>
                <w:bCs/>
              </w:rPr>
              <w:t xml:space="preserve">Number of HOs: </w:t>
            </w:r>
            <w:r w:rsidRPr="00BC5284">
              <w:t>496</w:t>
            </w:r>
          </w:p>
        </w:tc>
      </w:tr>
    </w:tbl>
    <w:p w14:paraId="0B3423F5" w14:textId="77777777" w:rsidR="00605460" w:rsidRDefault="00605460" w:rsidP="00605460">
      <w:pPr>
        <w:pStyle w:val="BasicParagraph"/>
      </w:pPr>
    </w:p>
    <w:p w14:paraId="6A54321D" w14:textId="77777777" w:rsidR="00605460" w:rsidRDefault="00605460" w:rsidP="00605460">
      <w:pPr>
        <w:pStyle w:val="HeadingSubtitle3-CaseStudy"/>
        <w:rPr>
          <w:rStyle w:val="TextBold"/>
          <w:rFonts w:cs="FreightText Pro Bold"/>
          <w:b/>
          <w:szCs w:val="20"/>
        </w:rPr>
      </w:pPr>
      <w:r>
        <w:rPr>
          <w:rStyle w:val="TextBold"/>
          <w:rFonts w:cs="FreightText Pro Bold"/>
          <w:b/>
          <w:szCs w:val="20"/>
        </w:rPr>
        <w:t>Yarra City Council is an inner-metropolitan LGA located east of the Melbourne CBD. It was formed in 1994 as a result of the amalgamation of the former Cities of Richmond, Collingwood, Fitzroy, and parts of the Cities of Melbourne and Northcote. At approximately 20km</w:t>
      </w:r>
      <w:r>
        <w:rPr>
          <w:rStyle w:val="TextBold"/>
          <w:rFonts w:cs="FreightText Pro Bold"/>
          <w:b/>
          <w:szCs w:val="20"/>
          <w:vertAlign w:val="superscript"/>
        </w:rPr>
        <w:t>2</w:t>
      </w:r>
      <w:r>
        <w:rPr>
          <w:rStyle w:val="TextBold"/>
          <w:rFonts w:cs="FreightText Pro Bold"/>
          <w:b/>
          <w:szCs w:val="20"/>
        </w:rPr>
        <w:t xml:space="preserve"> in area, Yarra is the state’s second smallest LGA. Despite its size, Yarra boasts a population just shy of 100,000, making it the state’s second most densely populated LGA. Like other inner-city LGAs, Yarra is experiencing significant growth pressure – the population is set to increase by 33 per cent over the next two decades. This has brought with it the challenge of residents wary about potential change to the heritage character and identity of their neighbourhoods.</w:t>
      </w:r>
    </w:p>
    <w:p w14:paraId="3B1360A5" w14:textId="77777777" w:rsidR="00605460" w:rsidRDefault="00605460" w:rsidP="00605460">
      <w:pPr>
        <w:pStyle w:val="HeadingSubtitle3-CaseStudy"/>
        <w:rPr>
          <w:color w:val="000000"/>
        </w:rPr>
      </w:pPr>
      <w:r>
        <w:rPr>
          <w:color w:val="000000"/>
        </w:rPr>
        <w:t>Issue</w:t>
      </w:r>
    </w:p>
    <w:p w14:paraId="716F792C" w14:textId="77777777" w:rsidR="00605460" w:rsidRDefault="00605460" w:rsidP="00605460">
      <w:pPr>
        <w:pStyle w:val="Text-CaseStudy"/>
      </w:pPr>
      <w:r>
        <w:t>Residents of the City of Yarra wanted to protect the heritage and identity of their neighbourhoods.</w:t>
      </w:r>
    </w:p>
    <w:p w14:paraId="5C888804" w14:textId="77777777" w:rsidR="00605460" w:rsidRDefault="00605460" w:rsidP="00605460">
      <w:pPr>
        <w:pStyle w:val="HeadingSubtitle3-CaseStudy"/>
        <w:rPr>
          <w:color w:val="000000"/>
        </w:rPr>
      </w:pPr>
      <w:r>
        <w:rPr>
          <w:color w:val="000000"/>
        </w:rPr>
        <w:t>Action</w:t>
      </w:r>
    </w:p>
    <w:p w14:paraId="7CD6E52E" w14:textId="77777777" w:rsidR="00605460" w:rsidRDefault="00605460" w:rsidP="00605460">
      <w:pPr>
        <w:pStyle w:val="Text-CaseStudy"/>
      </w:pPr>
      <w:r>
        <w:t xml:space="preserve">The Yarra City Council responded to residents’ demands by communicating the messages that heritage contributes to what makes Yarra unique, and that protecting and promoting heritage can preserve its identity, as well as help develop a </w:t>
      </w:r>
      <w:r>
        <w:rPr>
          <w:spacing w:val="-3"/>
        </w:rPr>
        <w:t>richer understanding of various layers of its history. The Council</w:t>
      </w:r>
      <w:r>
        <w:t xml:space="preserve"> </w:t>
      </w:r>
      <w:r>
        <w:rPr>
          <w:spacing w:val="-2"/>
        </w:rPr>
        <w:t>focused its land-use policies on protecting the valued heritage</w:t>
      </w:r>
      <w:r>
        <w:t xml:space="preserve"> character of these neighbourhoods, while accommodating growth and change in strategic redevelopment sites and precincts. Yarra City Council has communicated this digitally through its website, as well as in person at heritage events, such as Open House Melbourne and the Yarra Community Awards. The Council has also recently developed </w:t>
      </w:r>
      <w:r>
        <w:rPr>
          <w:rStyle w:val="CaseStudytextitalics"/>
          <w:iCs/>
        </w:rPr>
        <w:t>Pastport Yarra</w:t>
      </w:r>
      <w:r>
        <w:t>, a mapping application that allows users to capture and share these heritage stories with the rest of the community.</w:t>
      </w:r>
    </w:p>
    <w:p w14:paraId="5B230CD8" w14:textId="77777777" w:rsidR="00605460" w:rsidRDefault="00605460" w:rsidP="00605460">
      <w:pPr>
        <w:pStyle w:val="Text-CaseStudy"/>
      </w:pPr>
      <w:r>
        <w:rPr>
          <w:spacing w:val="-2"/>
        </w:rPr>
        <w:t>Acceptance of this message has enabled the Yarra City Council</w:t>
      </w:r>
      <w:r>
        <w:t xml:space="preserve"> to embark on an ambitious work program to identify and protect local heritage in the LGA, aided recently by its </w:t>
      </w:r>
      <w:r>
        <w:rPr>
          <w:rStyle w:val="CaseStudytextitalics"/>
          <w:iCs/>
        </w:rPr>
        <w:t>Heritage Strategy 2019–2030</w:t>
      </w:r>
      <w:r>
        <w:t>. Over the past few decades, a total of 19 heritage studies have been conducted for the LGA. These studies vary in size and scope, covering all geographic parts of the City and most heritage place-types – all heritage studies can be found on its website. Almost all of the studies have been translated into the Heritage Overlay. Yarra City Council has also been continuously updating its heritage database to remove gaps and anomalies. This ensures that heritage information is less ambiguous and therefore more effective.</w:t>
      </w:r>
    </w:p>
    <w:p w14:paraId="6AB0B37A" w14:textId="77777777" w:rsidR="00605460" w:rsidRDefault="00605460" w:rsidP="00605460">
      <w:pPr>
        <w:pStyle w:val="HeadingSubtitle3-CaseStudy"/>
        <w:rPr>
          <w:color w:val="000000"/>
        </w:rPr>
      </w:pPr>
      <w:r>
        <w:rPr>
          <w:color w:val="000000"/>
        </w:rPr>
        <w:t>Outcome</w:t>
      </w:r>
    </w:p>
    <w:p w14:paraId="17E23693" w14:textId="77777777" w:rsidR="00605460" w:rsidRDefault="00605460" w:rsidP="00605460">
      <w:pPr>
        <w:pStyle w:val="Text-CaseStudy"/>
      </w:pPr>
      <w:r>
        <w:t>More than 20,000 properties in the City of Yarra are covered by the HO, which equates to more than 60% of the City’s total properties.</w:t>
      </w:r>
    </w:p>
    <w:p w14:paraId="5C54646A" w14:textId="77777777" w:rsidR="00605460" w:rsidRDefault="00605460" w:rsidP="00605460">
      <w:pPr>
        <w:pStyle w:val="HeadingSubtitle3-CaseStudy"/>
        <w:rPr>
          <w:color w:val="000000"/>
        </w:rPr>
      </w:pPr>
      <w:r>
        <w:rPr>
          <w:color w:val="000000"/>
        </w:rPr>
        <w:t>Lessons</w:t>
      </w:r>
    </w:p>
    <w:p w14:paraId="2C9D2D7F" w14:textId="77777777" w:rsidR="00605460" w:rsidRDefault="00605460" w:rsidP="00605460">
      <w:pPr>
        <w:pStyle w:val="Text-CaseStudy"/>
      </w:pPr>
      <w:r>
        <w:t>Yarra City Council is an example of a council with extensive experience in conducting and implementing heritage studies and can provide insights for other councils looking to improve their local heritage protection. Efforts must be made to make residents see that heritage contributes to the unique identity of the area and that heritage can be protected as part of the longer-term planning and development for an area. Communication of this message is key.</w:t>
      </w:r>
    </w:p>
    <w:p w14:paraId="24E725B3" w14:textId="77777777" w:rsidR="00605460" w:rsidRDefault="00605460" w:rsidP="00605460">
      <w:pPr>
        <w:pStyle w:val="HeadingSubtitle4-CaseStudyRefs"/>
        <w:rPr>
          <w:color w:val="000000"/>
        </w:rPr>
      </w:pPr>
      <w:r>
        <w:rPr>
          <w:color w:val="000000"/>
        </w:rPr>
        <w:t>References</w:t>
      </w:r>
    </w:p>
    <w:p w14:paraId="529DFF38" w14:textId="77777777" w:rsidR="00605460" w:rsidRDefault="00605460" w:rsidP="00605460">
      <w:pPr>
        <w:pStyle w:val="ReferencesText-CaseStudy"/>
      </w:pPr>
      <w:r>
        <w:lastRenderedPageBreak/>
        <w:t>•</w:t>
      </w:r>
      <w:r>
        <w:tab/>
        <w:t xml:space="preserve">Yarra City Council 2019, </w:t>
      </w:r>
      <w:r>
        <w:rPr>
          <w:i/>
          <w:iCs/>
        </w:rPr>
        <w:t>Heritage Strategy 2019–2030</w:t>
      </w:r>
      <w:r>
        <w:t>, Yarra City Council, Melbourne.</w:t>
      </w:r>
    </w:p>
    <w:p w14:paraId="1254F438" w14:textId="77777777" w:rsidR="00605460" w:rsidRDefault="00605460">
      <w:pPr>
        <w:pStyle w:val="Text"/>
      </w:pPr>
    </w:p>
    <w:p w14:paraId="6029B8E5" w14:textId="77777777" w:rsidR="00605460" w:rsidRPr="0025698C" w:rsidRDefault="0025698C" w:rsidP="0025698C">
      <w:pPr>
        <w:pStyle w:val="CaseStudyHeading1"/>
        <w:rPr>
          <w:color w:val="000000"/>
          <w:spacing w:val="0"/>
          <w:sz w:val="32"/>
        </w:rPr>
      </w:pPr>
      <w:r w:rsidRPr="0025698C">
        <w:rPr>
          <w:color w:val="000000"/>
          <w:spacing w:val="0"/>
          <w:sz w:val="32"/>
        </w:rPr>
        <w:t xml:space="preserve">Case Study: </w:t>
      </w:r>
      <w:r w:rsidR="00605460" w:rsidRPr="0025698C">
        <w:rPr>
          <w:color w:val="000000"/>
          <w:spacing w:val="0"/>
          <w:sz w:val="32"/>
        </w:rPr>
        <w:t>Heritage strategy – Casey City Council</w:t>
      </w:r>
    </w:p>
    <w:p w14:paraId="3BA71E01" w14:textId="77777777" w:rsidR="00605460" w:rsidRDefault="00605460" w:rsidP="00605460">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605460" w:rsidRPr="00BC5284" w14:paraId="772FBECA"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536ED06" w14:textId="77777777" w:rsidR="00605460" w:rsidRPr="00BC5284" w:rsidRDefault="00605460" w:rsidP="005040CF">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Metro Outer</w:t>
            </w:r>
          </w:p>
        </w:tc>
      </w:tr>
      <w:tr w:rsidR="00605460" w:rsidRPr="00BC5284" w14:paraId="7D14DD10"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DB753C0" w14:textId="77777777" w:rsidR="00605460" w:rsidRPr="00BC5284" w:rsidRDefault="00605460" w:rsidP="005040CF">
            <w:pPr>
              <w:pStyle w:val="TableText"/>
            </w:pPr>
            <w:r w:rsidRPr="00BC5284">
              <w:rPr>
                <w:rStyle w:val="TabletextBold"/>
                <w:rFonts w:cs="FreightSans Pro Bold"/>
                <w:bCs/>
              </w:rPr>
              <w:t xml:space="preserve">LGA size: </w:t>
            </w:r>
            <w:r w:rsidRPr="00BC5284">
              <w:rPr>
                <w:rStyle w:val="TabletextBold"/>
                <w:rFonts w:ascii="FreightSans Pro Medium" w:hAnsi="FreightSans Pro Medium"/>
                <w:b w:val="0"/>
              </w:rPr>
              <w:t>409km</w:t>
            </w:r>
            <w:r w:rsidRPr="00BC5284">
              <w:rPr>
                <w:rStyle w:val="TabletextBold"/>
                <w:rFonts w:ascii="FreightSans Pro Medium" w:hAnsi="FreightSans Pro Medium"/>
                <w:b w:val="0"/>
                <w:vertAlign w:val="superscript"/>
              </w:rPr>
              <w:t>2</w:t>
            </w:r>
          </w:p>
        </w:tc>
      </w:tr>
      <w:tr w:rsidR="00605460" w:rsidRPr="00BC5284" w14:paraId="39F1EB94"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471B9CE" w14:textId="77777777" w:rsidR="00605460" w:rsidRPr="00BC5284" w:rsidRDefault="00605460" w:rsidP="005040CF">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340,419</w:t>
            </w:r>
          </w:p>
        </w:tc>
      </w:tr>
      <w:tr w:rsidR="00605460" w:rsidRPr="00BC5284" w14:paraId="16A04DC5"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0E75B25" w14:textId="77777777" w:rsidR="00605460" w:rsidRPr="00BC5284" w:rsidRDefault="00605460" w:rsidP="005040CF">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187</w:t>
            </w:r>
          </w:p>
        </w:tc>
      </w:tr>
    </w:tbl>
    <w:p w14:paraId="1ED4424E" w14:textId="77777777" w:rsidR="00605460" w:rsidRDefault="00605460" w:rsidP="00605460">
      <w:pPr>
        <w:pStyle w:val="BasicParagraph"/>
      </w:pPr>
    </w:p>
    <w:p w14:paraId="5000659B" w14:textId="77777777" w:rsidR="00605460" w:rsidRPr="00B84B42" w:rsidRDefault="00605460" w:rsidP="00605460">
      <w:pPr>
        <w:pStyle w:val="HeadingSubtitle2"/>
        <w:rPr>
          <w:rFonts w:ascii="FreightText Pro Bold" w:hAnsi="FreightText Pro Bold" w:cs="FreightText Pro Bold"/>
          <w:color w:val="000000"/>
          <w:spacing w:val="-4"/>
          <w:sz w:val="20"/>
          <w:szCs w:val="20"/>
        </w:rPr>
      </w:pPr>
      <w:r>
        <w:rPr>
          <w:rStyle w:val="TextBold"/>
          <w:rFonts w:cs="FreightText Pro Bold"/>
          <w:b/>
          <w:szCs w:val="20"/>
        </w:rPr>
        <w:t xml:space="preserve">Casey City Council is an outer-metropolitan LGA located approximately 40km southeast of the Melbourne CBD. It is the most populous LGA in the state and </w:t>
      </w:r>
      <w:r>
        <w:rPr>
          <w:rStyle w:val="TextBold"/>
          <w:rFonts w:cs="FreightText Pro Bold"/>
          <w:b/>
          <w:spacing w:val="-4"/>
          <w:szCs w:val="20"/>
        </w:rPr>
        <w:t>growing, thanks to its designation as a growth area. Casey City Council developed</w:t>
      </w:r>
      <w:r>
        <w:rPr>
          <w:rStyle w:val="TextBold"/>
          <w:rFonts w:cs="FreightText Pro Bold"/>
          <w:b/>
          <w:szCs w:val="20"/>
        </w:rPr>
        <w:t xml:space="preserve"> </w:t>
      </w:r>
      <w:r>
        <w:rPr>
          <w:rStyle w:val="TextBold"/>
          <w:rFonts w:cs="FreightText Pro Bold"/>
          <w:b/>
          <w:spacing w:val="-2"/>
          <w:szCs w:val="20"/>
        </w:rPr>
        <w:t>a heritage strategy in-house to improve appreciation of the importance of local</w:t>
      </w:r>
      <w:r>
        <w:rPr>
          <w:rStyle w:val="TextBold"/>
          <w:rFonts w:cs="FreightText Pro Bold"/>
          <w:b/>
          <w:szCs w:val="20"/>
        </w:rPr>
        <w:t xml:space="preserve"> </w:t>
      </w:r>
      <w:r>
        <w:rPr>
          <w:rStyle w:val="TextBold"/>
          <w:rFonts w:cs="FreightText Pro Bold"/>
          <w:b/>
          <w:spacing w:val="-4"/>
          <w:szCs w:val="20"/>
        </w:rPr>
        <w:t>heritage to the municipality, particularly in light of urban development pressures.</w:t>
      </w:r>
    </w:p>
    <w:p w14:paraId="3A46B8C9" w14:textId="77777777" w:rsidR="00605460" w:rsidRDefault="00605460" w:rsidP="00605460">
      <w:pPr>
        <w:pStyle w:val="HeadingSubtitle3-CaseStudy"/>
        <w:rPr>
          <w:color w:val="000000"/>
        </w:rPr>
      </w:pPr>
      <w:r>
        <w:rPr>
          <w:color w:val="000000"/>
        </w:rPr>
        <w:t>Issue</w:t>
      </w:r>
    </w:p>
    <w:p w14:paraId="462BC9D1" w14:textId="77777777" w:rsidR="00605460" w:rsidRDefault="00605460" w:rsidP="00605460">
      <w:pPr>
        <w:pStyle w:val="Text-CaseStudy"/>
      </w:pPr>
      <w:r>
        <w:t xml:space="preserve">There was a need to protect and integrate the Casey City Council’s local heritage in a developing urban area. </w:t>
      </w:r>
    </w:p>
    <w:p w14:paraId="18EA25C1" w14:textId="77777777" w:rsidR="00605460" w:rsidRDefault="00605460" w:rsidP="00605460">
      <w:pPr>
        <w:pStyle w:val="HeadingSubtitle3-CaseStudy"/>
        <w:rPr>
          <w:color w:val="000000"/>
        </w:rPr>
      </w:pPr>
      <w:r>
        <w:rPr>
          <w:color w:val="000000"/>
        </w:rPr>
        <w:t>Action</w:t>
      </w:r>
    </w:p>
    <w:p w14:paraId="69B713E2" w14:textId="77777777" w:rsidR="00605460" w:rsidRDefault="00605460" w:rsidP="00605460">
      <w:pPr>
        <w:pStyle w:val="Text-CaseStudy"/>
      </w:pPr>
      <w:r>
        <w:t xml:space="preserve">In late 2015, the Casey City Council set about developing the </w:t>
      </w:r>
      <w:r>
        <w:rPr>
          <w:rStyle w:val="CaseStudytextitalics"/>
          <w:iCs/>
        </w:rPr>
        <w:t>Heritage Strategy</w:t>
      </w:r>
      <w:r>
        <w:t xml:space="preserve"> (2017), which was to replace the previous </w:t>
      </w:r>
      <w:r>
        <w:rPr>
          <w:rStyle w:val="CaseStudytextitalics"/>
          <w:iCs/>
        </w:rPr>
        <w:t>Heritage Strategy</w:t>
      </w:r>
      <w:r>
        <w:t xml:space="preserve"> (2001). The Heritage Sub-committee of Casey’s Conservation Advisory Committee and a number of </w:t>
      </w:r>
      <w:r>
        <w:rPr>
          <w:spacing w:val="-2"/>
        </w:rPr>
        <w:t>council officers were behind the push to create a new strategy,</w:t>
      </w:r>
      <w:r>
        <w:t xml:space="preserve"> recognising that the previous strategy was thoroughly outdated and largely ignored, meaning there was no strategic basis for how Council should act with regards to local heritage. They also recognised that Casey’s role as an urban growth corridor threatened the retention of heritage places. In 2016, following two rounds of community consultation, a draft strategy was created in-house (rather than by a heritage consultant) using Heritage Victoria’s </w:t>
      </w:r>
      <w:r>
        <w:rPr>
          <w:rStyle w:val="CaseStudytextitalics"/>
          <w:iCs/>
        </w:rPr>
        <w:t>Municipal Heritage Strategies: A Guide for Councils</w:t>
      </w:r>
      <w:r>
        <w:t xml:space="preserve"> (2012). The draft strategy was then peer reviewed by a consultant for consistency and exhibited in a third round of consultation in mid-2017.</w:t>
      </w:r>
    </w:p>
    <w:p w14:paraId="2F82BCD7" w14:textId="77777777" w:rsidR="00605460" w:rsidRDefault="00605460" w:rsidP="00605460">
      <w:pPr>
        <w:pStyle w:val="Text-CaseStudy"/>
      </w:pPr>
      <w:r>
        <w:t xml:space="preserve">Casey’s </w:t>
      </w:r>
      <w:r>
        <w:rPr>
          <w:rStyle w:val="CaseStudytextitalics"/>
          <w:iCs/>
        </w:rPr>
        <w:t>Heritage Strategy</w:t>
      </w:r>
      <w:r>
        <w:t xml:space="preserve"> follows the standard set out in the State Government’s guide. It details the policy context for the strategy and identifies the key challenges and opportunities associated with the City’s heritage. It next presents the heritage achievements of the Council to date in four categories: knowing, protecting, supporting and promoting. It finally presents a strategy action plan, outlining the actions – ongoing, short-, medium- and long-term – that the Council should undertake to improve heritage performance across the above four categories. What makes the strategy unique is that it targets the underlying issue in Casey: there is a lack of appreciation for heritage. As such, the strategy focuses primarily on education, rather than strategic or statutory projects. It seeks to garner acknowledgment within Council and the community that there is heritage in the Casey City Council and that the heritage is of value. The strategy is careful to propose actions that are achievable and do not require significant council expenditure.</w:t>
      </w:r>
    </w:p>
    <w:p w14:paraId="4593419F" w14:textId="77777777" w:rsidR="00605460" w:rsidRDefault="00605460" w:rsidP="00605460">
      <w:pPr>
        <w:pStyle w:val="HeadingSubtitle3-CaseStudy"/>
        <w:rPr>
          <w:color w:val="000000"/>
        </w:rPr>
      </w:pPr>
      <w:r>
        <w:rPr>
          <w:color w:val="000000"/>
        </w:rPr>
        <w:t>Outcome</w:t>
      </w:r>
    </w:p>
    <w:p w14:paraId="3D494F79" w14:textId="77777777" w:rsidR="00605460" w:rsidRDefault="00605460" w:rsidP="00605460">
      <w:pPr>
        <w:pStyle w:val="Text-CaseStudy"/>
      </w:pPr>
      <w:r>
        <w:t xml:space="preserve">The </w:t>
      </w:r>
      <w:r>
        <w:rPr>
          <w:rStyle w:val="CaseStudytextitalics"/>
          <w:iCs/>
        </w:rPr>
        <w:t>Heritage Strategy</w:t>
      </w:r>
      <w:r>
        <w:t xml:space="preserve"> was formally adopted by the Casey City Council in September 2017. The total cost of the strategy was less than $3,000, excluding staff costs. Council officers reflected that the best part of the strategy is that it has received buy-in from all council departments and that the document is actually being used. Casey City Council has hired a dedicated part-time heritage officer to assist with, amongst other things, implementation of the strategy’s actions, and have recently established a panel of heritage consultants to draw on when needed.</w:t>
      </w:r>
    </w:p>
    <w:p w14:paraId="407A9F36" w14:textId="77777777" w:rsidR="00605460" w:rsidRDefault="00605460" w:rsidP="00605460">
      <w:pPr>
        <w:pStyle w:val="HeadingSubtitle3-CaseStudy"/>
        <w:rPr>
          <w:color w:val="000000"/>
        </w:rPr>
      </w:pPr>
      <w:r>
        <w:rPr>
          <w:color w:val="000000"/>
        </w:rPr>
        <w:t>Lessons</w:t>
      </w:r>
    </w:p>
    <w:p w14:paraId="3B3AB4AE" w14:textId="77777777" w:rsidR="00605460" w:rsidRDefault="00605460" w:rsidP="00605460">
      <w:pPr>
        <w:pStyle w:val="Text-CaseStudy"/>
      </w:pPr>
      <w:r>
        <w:t xml:space="preserve">The Casey City Council experience shows that heritage strategies can be cost-effective when developed in-house using the experience and expertise of council officers, which has had the added benefit of creating buy-in from the officers. Casey uses a combination of a dedicated council officer and a panel of heritage consultants to enable flexibility when responding to varying </w:t>
      </w:r>
      <w:r>
        <w:lastRenderedPageBreak/>
        <w:t>complexities of heritage issues. The Casey City Council demonstrates that strategies can be used to educate and promote the importance of heritage within council and the public.</w:t>
      </w:r>
    </w:p>
    <w:p w14:paraId="56325DC9" w14:textId="77777777" w:rsidR="00605460" w:rsidRDefault="00605460" w:rsidP="00605460">
      <w:pPr>
        <w:pStyle w:val="HeadingSubtitle4-CaseStudyRefs"/>
        <w:rPr>
          <w:color w:val="000000"/>
        </w:rPr>
      </w:pPr>
      <w:r>
        <w:rPr>
          <w:color w:val="000000"/>
        </w:rPr>
        <w:t>References</w:t>
      </w:r>
    </w:p>
    <w:p w14:paraId="6544DB68" w14:textId="77777777" w:rsidR="00605460" w:rsidRDefault="00605460" w:rsidP="00605460">
      <w:pPr>
        <w:pStyle w:val="ReferencesText-CaseStudy"/>
      </w:pPr>
      <w:r>
        <w:t>•</w:t>
      </w:r>
      <w:r>
        <w:tab/>
        <w:t xml:space="preserve">Casey City Council 2017, </w:t>
      </w:r>
      <w:r>
        <w:rPr>
          <w:i/>
          <w:iCs/>
        </w:rPr>
        <w:t>Heritage Strategy</w:t>
      </w:r>
      <w:r>
        <w:t>, Casey City Council, Melbourne.</w:t>
      </w:r>
    </w:p>
    <w:p w14:paraId="1DA21A7F" w14:textId="77777777" w:rsidR="00605460" w:rsidRDefault="00605460" w:rsidP="0059510D">
      <w:pPr>
        <w:pStyle w:val="ReferencesText-CaseStudy"/>
        <w:ind w:left="280" w:hanging="280"/>
      </w:pPr>
      <w:r>
        <w:t>•</w:t>
      </w:r>
      <w:r>
        <w:tab/>
        <w:t xml:space="preserve">Heritage Victoria, Department of Planning and Community Development 2012, </w:t>
      </w:r>
      <w:r>
        <w:rPr>
          <w:i/>
          <w:iCs/>
        </w:rPr>
        <w:t>Municipal Heritage Strategies: A Guide for Councils</w:t>
      </w:r>
      <w:r>
        <w:t>, Heritage Victoria, DPCD, Melbourne.</w:t>
      </w:r>
    </w:p>
    <w:p w14:paraId="6EDF3B52" w14:textId="77777777" w:rsidR="00BC5284" w:rsidRDefault="00BC5284">
      <w:pPr>
        <w:pStyle w:val="Headingsubtitle1"/>
        <w:rPr>
          <w:color w:val="000000"/>
        </w:rPr>
      </w:pPr>
      <w:r>
        <w:rPr>
          <w:color w:val="000000"/>
        </w:rPr>
        <w:t>3.5 Supporting local heritage</w:t>
      </w:r>
    </w:p>
    <w:p w14:paraId="04F3BA0B" w14:textId="77777777" w:rsidR="00BC5284" w:rsidRDefault="00BC5284">
      <w:pPr>
        <w:pStyle w:val="Text"/>
      </w:pPr>
      <w:r>
        <w:t>The next step in the local heritage process involves supporting places that have been identified as being of local heritage significance. This includes measures both to improve council processes and provide direct support to owners of heritage places.</w:t>
      </w:r>
    </w:p>
    <w:p w14:paraId="1534F836" w14:textId="77777777" w:rsidR="00BC5284" w:rsidRDefault="00BC5284">
      <w:pPr>
        <w:pStyle w:val="HeadingSubtitle2"/>
        <w:rPr>
          <w:color w:val="000000"/>
        </w:rPr>
      </w:pPr>
      <w:r>
        <w:rPr>
          <w:color w:val="000000"/>
        </w:rPr>
        <w:t>Heritage strategies</w:t>
      </w:r>
    </w:p>
    <w:p w14:paraId="2C22FCA5" w14:textId="77777777" w:rsidR="00BC5284" w:rsidRDefault="00BC5284">
      <w:pPr>
        <w:pStyle w:val="Text"/>
      </w:pPr>
      <w:r>
        <w:t xml:space="preserve">Heritage strategies offer potential for local councils to identify and improve not just their support for local heritage, but also the identification, protection and promotion of their local heritage. A heritage strategy is a council document that details the present state of heritage identification, protection, support and promotion in the LGA, and provides an action plan that a council can use to improve its performance across these four categories, thereby helping to ensure that the council meets its heritage obligations under the </w:t>
      </w:r>
      <w:r>
        <w:rPr>
          <w:rStyle w:val="TextItalic"/>
          <w:iCs/>
        </w:rPr>
        <w:t>Planning and Environment Act 1987</w:t>
      </w:r>
      <w:r>
        <w:t xml:space="preserve">. These documents can be produced in-house by councils or by heritage consultants – Heritage Victoria has developed a toolkit to assist councils to create heritage strategies in-house, </w:t>
      </w:r>
      <w:r>
        <w:rPr>
          <w:rStyle w:val="TextItalic"/>
          <w:iCs/>
        </w:rPr>
        <w:t xml:space="preserve">Municipal Heritage Strategies: A Guide for Councils </w:t>
      </w:r>
      <w:r>
        <w:t>(2012).</w:t>
      </w:r>
    </w:p>
    <w:p w14:paraId="5543154A" w14:textId="77777777" w:rsidR="00BC5284" w:rsidRDefault="00BC5284">
      <w:pPr>
        <w:pStyle w:val="Text"/>
      </w:pPr>
      <w:r>
        <w:t>Data has been collected on the number of councils with a current heritage strategy and is presented in Figure 3.10. Those councils with a heritage strategy were also asked to rate the efficacy of their strategy out of five.</w:t>
      </w:r>
    </w:p>
    <w:p w14:paraId="09949F70" w14:textId="77777777" w:rsidR="00BC5284" w:rsidRDefault="00BC5284">
      <w:pPr>
        <w:pStyle w:val="FigureTitleandnumbernounderline"/>
      </w:pPr>
      <w:r>
        <w:t>Figure 3.10 Heritage strategies</w:t>
      </w:r>
    </w:p>
    <w:p w14:paraId="25B54037" w14:textId="77777777" w:rsidR="00BC5284" w:rsidRDefault="00BC5284">
      <w:pPr>
        <w:pStyle w:val="HeadingSubtitle3"/>
        <w:rPr>
          <w:color w:val="000000"/>
        </w:rPr>
      </w:pPr>
      <w:r>
        <w:rPr>
          <w:color w:val="000000"/>
        </w:rPr>
        <w:t>Key findings</w:t>
      </w:r>
    </w:p>
    <w:p w14:paraId="356D3E1F" w14:textId="77777777" w:rsidR="00BC5284" w:rsidRDefault="00BC5284">
      <w:pPr>
        <w:pStyle w:val="TextBulletsPara"/>
      </w:pPr>
      <w:r>
        <w:rPr>
          <w:rStyle w:val="TextBullet"/>
        </w:rPr>
        <w:t>•</w:t>
      </w:r>
      <w:r>
        <w:rPr>
          <w:rStyle w:val="TextBullet"/>
        </w:rPr>
        <w:tab/>
      </w:r>
      <w:r>
        <w:t xml:space="preserve">Slightly more than half of all councils (53%) have a current heritage strategy in place. This figure is fairly consistent across the Metro Middle, Metro Outer, Rural </w:t>
      </w:r>
      <w:r>
        <w:rPr>
          <w:spacing w:val="-2"/>
        </w:rPr>
        <w:t>City and Rural Large categories. All Metro Inner councils</w:t>
      </w:r>
      <w:r>
        <w:t xml:space="preserve"> have a heritage strategy, while only two Rural Small councils have one.</w:t>
      </w:r>
    </w:p>
    <w:p w14:paraId="3AF4F152" w14:textId="77777777" w:rsidR="00BC5284" w:rsidRDefault="00BC5284">
      <w:pPr>
        <w:pStyle w:val="TextBulletsPara"/>
      </w:pPr>
      <w:r>
        <w:rPr>
          <w:rStyle w:val="TextBullet"/>
        </w:rPr>
        <w:t>•</w:t>
      </w:r>
      <w:r>
        <w:rPr>
          <w:rStyle w:val="TextBullet"/>
        </w:rPr>
        <w:tab/>
      </w:r>
      <w:r>
        <w:t xml:space="preserve">The average efficacy rating of the strategies was </w:t>
      </w:r>
      <w:r>
        <w:br/>
        <w:t>3.3 out of 5:</w:t>
      </w:r>
    </w:p>
    <w:p w14:paraId="61DAAA42" w14:textId="77777777" w:rsidR="00BC5284" w:rsidRDefault="00BC5284">
      <w:pPr>
        <w:pStyle w:val="Text"/>
      </w:pPr>
      <w:r>
        <w:tab/>
        <w:t>–</w:t>
      </w:r>
      <w:r>
        <w:tab/>
        <w:t>A total of 13 councils gave their strategy a positive rating (4-5)</w:t>
      </w:r>
    </w:p>
    <w:p w14:paraId="1CC28D28" w14:textId="77777777" w:rsidR="00BC5284" w:rsidRDefault="00BC5284">
      <w:pPr>
        <w:pStyle w:val="Text"/>
      </w:pPr>
      <w:r>
        <w:tab/>
        <w:t>–</w:t>
      </w:r>
      <w:r>
        <w:tab/>
        <w:t>A total of 27 councils gave their strategy a neutral rating (3)</w:t>
      </w:r>
    </w:p>
    <w:p w14:paraId="6EADEF93" w14:textId="77777777" w:rsidR="00BC5284" w:rsidRDefault="00BC5284">
      <w:pPr>
        <w:pStyle w:val="Text"/>
      </w:pPr>
      <w:r>
        <w:tab/>
        <w:t>–</w:t>
      </w:r>
      <w:r>
        <w:tab/>
        <w:t>Two councils gave their strategy a negative rating (1-2)</w:t>
      </w:r>
    </w:p>
    <w:p w14:paraId="21CCD583" w14:textId="77777777" w:rsidR="00BC5284" w:rsidRDefault="00BC5284">
      <w:pPr>
        <w:pStyle w:val="Text"/>
      </w:pPr>
      <w:r>
        <w:t xml:space="preserve">The data reveals that heritage strategies are being underutilised as a resource by councils. Firstly, there are currently 38 councils that do not have a heritage strategy. Secondly, 29 of the 42 councils with heritage strategies reported difficulties affecting their operation, including poor commitment to its recommendations and a lack of integration with council’s other strategic work. Councils who have made them work, however, note that the heritage strategies are useful for guiding and grounding strategic heritage work. There would seem to be a real opportunity in this space to both better promote the advantages of heritage strategies and how they can help councils guide and prioritise their heritage protection, and to explore what additional guidance can be given to support their development through the toolkit, </w:t>
      </w:r>
      <w:r>
        <w:rPr>
          <w:rStyle w:val="TextItalic"/>
          <w:iCs/>
        </w:rPr>
        <w:t>Municipal Heritage Strategies: A Guide for Councils</w:t>
      </w:r>
      <w:r>
        <w:t xml:space="preserve"> (HV, 2012).</w:t>
      </w:r>
    </w:p>
    <w:p w14:paraId="4A27C6D9" w14:textId="77777777" w:rsidR="00BC5284" w:rsidRDefault="00BC5284">
      <w:pPr>
        <w:pStyle w:val="HeadingSubtitle2"/>
        <w:rPr>
          <w:color w:val="000000"/>
        </w:rPr>
      </w:pPr>
      <w:r>
        <w:rPr>
          <w:color w:val="000000"/>
        </w:rPr>
        <w:t>Heritage Advisory Committees</w:t>
      </w:r>
    </w:p>
    <w:p w14:paraId="73045EE0" w14:textId="77777777" w:rsidR="00BC5284" w:rsidRDefault="00BC5284">
      <w:pPr>
        <w:pStyle w:val="Text"/>
      </w:pPr>
      <w:r>
        <w:t xml:space="preserve">Heritage Advisory Committees (HACs) are used by some </w:t>
      </w:r>
      <w:r>
        <w:rPr>
          <w:spacing w:val="-2"/>
        </w:rPr>
        <w:t>councils to improve their local heritage performance. A HAC</w:t>
      </w:r>
      <w:r>
        <w:t xml:space="preserve"> commonly consists of councillors, council officers and representatives from the local community who have an interest in heritage. Although their exact roles differ between councils, they are usually established to provide advice and guidance to councils on a range of local heritage issues. This may include steering heritage studies, </w:t>
      </w:r>
      <w:r>
        <w:rPr>
          <w:spacing w:val="-2"/>
        </w:rPr>
        <w:t>advocating heritage measures, such as loans and grants, and</w:t>
      </w:r>
      <w:r>
        <w:t xml:space="preserve"> administering awards recognising heritage conservation. A HAC is usually run as an official council advisory committee in accordance with specific terms of reference. </w:t>
      </w:r>
    </w:p>
    <w:p w14:paraId="09B8B4BC" w14:textId="77777777" w:rsidR="00BC5284" w:rsidRDefault="00BC5284">
      <w:pPr>
        <w:pStyle w:val="Text"/>
      </w:pPr>
      <w:r>
        <w:lastRenderedPageBreak/>
        <w:t>Data has been collected on the number of councils that have a HAC and is presented in Figure 3.11. Data was also collected on the frequency of HAC meetings.</w:t>
      </w:r>
    </w:p>
    <w:p w14:paraId="0DFA3F6E" w14:textId="77777777" w:rsidR="00BC5284" w:rsidRDefault="00BC5284">
      <w:pPr>
        <w:pStyle w:val="HeadingSubtitle3"/>
        <w:rPr>
          <w:color w:val="000000"/>
        </w:rPr>
      </w:pPr>
      <w:r>
        <w:rPr>
          <w:color w:val="000000"/>
        </w:rPr>
        <w:t>Key findings</w:t>
      </w:r>
    </w:p>
    <w:p w14:paraId="54601C1A" w14:textId="77777777" w:rsidR="00BC5284" w:rsidRDefault="00BC5284">
      <w:pPr>
        <w:pStyle w:val="TextBulletsPara"/>
      </w:pPr>
      <w:r>
        <w:rPr>
          <w:rStyle w:val="TextBullet"/>
        </w:rPr>
        <w:t>•</w:t>
      </w:r>
      <w:r>
        <w:rPr>
          <w:rStyle w:val="TextBullet"/>
        </w:rPr>
        <w:tab/>
      </w:r>
      <w:r>
        <w:t>Approximately one-fifth of all councils (21%) have a Heritage Advisory Committee. This is quite unevenly distributed across the council categories, with Metro Middle councils having the most (40%) and Rural Small councils having none.</w:t>
      </w:r>
    </w:p>
    <w:p w14:paraId="0622F3AE" w14:textId="77777777" w:rsidR="00BC5284" w:rsidRDefault="00BC5284">
      <w:pPr>
        <w:pStyle w:val="TextBulletsPara"/>
      </w:pPr>
      <w:r>
        <w:rPr>
          <w:rStyle w:val="TextBullet"/>
        </w:rPr>
        <w:t>•</w:t>
      </w:r>
      <w:r>
        <w:rPr>
          <w:rStyle w:val="TextBullet"/>
        </w:rPr>
        <w:tab/>
      </w:r>
      <w:r>
        <w:t>The average number of HAC meetings per year is 6.3. Two councils had HACs that met monthly (the most frequent); six councils had HACs that met quarterly (the least frequent).</w:t>
      </w:r>
    </w:p>
    <w:p w14:paraId="05EB12B6" w14:textId="77777777" w:rsidR="00BC5284" w:rsidRDefault="00BC5284">
      <w:pPr>
        <w:pStyle w:val="TextBulletsPara"/>
      </w:pPr>
      <w:r>
        <w:rPr>
          <w:rStyle w:val="TextBullet"/>
        </w:rPr>
        <w:t>•</w:t>
      </w:r>
      <w:r>
        <w:rPr>
          <w:rStyle w:val="TextBullet"/>
        </w:rPr>
        <w:tab/>
      </w:r>
      <w:r>
        <w:t>The most common reasons for not having a HAC were pretty evenly split between a lack of heritage activity in the LGA (33%), a lack of council interest (32%), a lack of funding (29%) and a lack of staff to support it (29%).</w:t>
      </w:r>
    </w:p>
    <w:p w14:paraId="263981F2" w14:textId="77777777" w:rsidR="00BC5284" w:rsidRDefault="00BC5284">
      <w:pPr>
        <w:pStyle w:val="Text"/>
      </w:pPr>
      <w:r>
        <w:t>The data reveals that Heritage Advisory Committees are another underutilised measure to support the heritage work of local councils. HACs can play a vital role in involving the community in local heritage decision-making, which both the council and community survey respondents identified as a strength of the local heritage system. There is an opportunity to promote the use of HACs and develop guidance, similar to that for heritage strategies, to assist in their creation and implementation in a way that is useful.</w:t>
      </w:r>
    </w:p>
    <w:p w14:paraId="073AF2BD" w14:textId="77777777" w:rsidR="00BC5284" w:rsidRDefault="00BC5284">
      <w:pPr>
        <w:pStyle w:val="HeadingSubtitle2"/>
        <w:rPr>
          <w:color w:val="000000"/>
        </w:rPr>
      </w:pPr>
      <w:r>
        <w:rPr>
          <w:color w:val="000000"/>
        </w:rPr>
        <w:t>Heritage advisory services</w:t>
      </w:r>
    </w:p>
    <w:p w14:paraId="7B7EFD9F" w14:textId="77777777" w:rsidR="00BC5284" w:rsidRDefault="00BC5284">
      <w:pPr>
        <w:pStyle w:val="Text"/>
      </w:pPr>
      <w:r>
        <w:t xml:space="preserve">Heritage advisory services are a popular measure to support local heritage. First established in Victoria in 1977, the service involves the use of a heritage specialist to primarily provide free expert advice to the local community on heritage conservation. They may also provide advice and training to councils on planning permit applications and strategic heritage work. In most cases, councils contract the services of a dedicated Heritage Advisor. However, some councils employ dedicated heritage staff within council to provide these services. </w:t>
      </w:r>
    </w:p>
    <w:p w14:paraId="51D4A91B" w14:textId="77777777" w:rsidR="00BC5284" w:rsidRDefault="00BC5284">
      <w:pPr>
        <w:pStyle w:val="Text"/>
      </w:pPr>
      <w:r>
        <w:t xml:space="preserve">The work of Heritage Advisors was identified in the surveys as a strength of the system. Heritage Victoria has prepared </w:t>
      </w:r>
      <w:r>
        <w:rPr>
          <w:spacing w:val="-5"/>
        </w:rPr>
        <w:t xml:space="preserve">both a model brief, located within the </w:t>
      </w:r>
      <w:r>
        <w:rPr>
          <w:rStyle w:val="TextItalic"/>
          <w:iCs/>
          <w:spacing w:val="-5"/>
        </w:rPr>
        <w:t>Heritage Advisory Services:</w:t>
      </w:r>
      <w:r>
        <w:rPr>
          <w:rStyle w:val="TextItalic"/>
          <w:iCs/>
        </w:rPr>
        <w:t xml:space="preserve"> </w:t>
      </w:r>
      <w:r>
        <w:rPr>
          <w:rStyle w:val="TextItalic"/>
          <w:iCs/>
          <w:spacing w:val="-4"/>
        </w:rPr>
        <w:t>A Guide for Councils</w:t>
      </w:r>
      <w:r>
        <w:rPr>
          <w:spacing w:val="-4"/>
        </w:rPr>
        <w:t xml:space="preserve"> (2014), to help councils engage the services</w:t>
      </w:r>
      <w:r>
        <w:rPr>
          <w:spacing w:val="-2"/>
        </w:rPr>
        <w:t xml:space="preserve"> of a Heritage Advisor and a toolkit, </w:t>
      </w:r>
      <w:r>
        <w:rPr>
          <w:rStyle w:val="TextItalic"/>
          <w:iCs/>
          <w:spacing w:val="-2"/>
        </w:rPr>
        <w:t>Heritage Advisor’s</w:t>
      </w:r>
      <w:r>
        <w:rPr>
          <w:rStyle w:val="TextItalic"/>
          <w:iCs/>
        </w:rPr>
        <w:t xml:space="preserve"> Toolkit</w:t>
      </w:r>
      <w:r>
        <w:t xml:space="preserve"> (2016), to assist Heritage Advisors undertake their work. </w:t>
      </w:r>
    </w:p>
    <w:p w14:paraId="666863D2" w14:textId="77777777" w:rsidR="00BC5284" w:rsidRDefault="00BC5284">
      <w:pPr>
        <w:pStyle w:val="FigureTitleandnumbernounderline"/>
      </w:pPr>
      <w:r>
        <w:t>Figure 3.11 Heritage Advisory Committees</w:t>
      </w:r>
      <w:r w:rsidR="00103503">
        <w:br/>
      </w:r>
      <w:r>
        <w:t>Figure 3.12 Heritage Advisors</w:t>
      </w:r>
    </w:p>
    <w:p w14:paraId="4DCA6886" w14:textId="77777777" w:rsidR="00BC5284" w:rsidRDefault="00BC5284">
      <w:pPr>
        <w:pStyle w:val="Text"/>
      </w:pPr>
      <w:r>
        <w:t xml:space="preserve">Up until 2012, the State Government ran a program to provide funding for councils to engage a Heritage Advisor. At the peak of this program, 89% of councils had a Heritage Advisor. The Heritage Chairs and Officials of Australia and New Zealand (HCOANZ) have also prepared a guide, </w:t>
      </w:r>
      <w:r>
        <w:rPr>
          <w:rStyle w:val="TextItalic"/>
          <w:iCs/>
        </w:rPr>
        <w:t>Heritage Advisory Services Handbook: A National Guide for Government, Advisors and the Community</w:t>
      </w:r>
      <w:r>
        <w:t>, which was last updated in 2009.</w:t>
      </w:r>
    </w:p>
    <w:p w14:paraId="6918B278" w14:textId="77777777" w:rsidR="00BC5284" w:rsidRDefault="00BC5284">
      <w:pPr>
        <w:pStyle w:val="Text"/>
      </w:pPr>
      <w:r>
        <w:t>Data has been collected on the number of councils with a dedicated Heritage Advisor, which is presented in Figure 3.12, and the number of councils with internal heritage staff, which is presented in Figure 3.13. Data has also been collected on the average weekly hours worked by both Heritage Advisors and staff. Unfortunately, the survey did not capture how many of these hours were dedicated to interacting with the community.</w:t>
      </w:r>
    </w:p>
    <w:p w14:paraId="7383A4F8" w14:textId="77777777" w:rsidR="00BC5284" w:rsidRDefault="00BC5284">
      <w:pPr>
        <w:pStyle w:val="HeadingSubtitle3"/>
        <w:rPr>
          <w:color w:val="000000"/>
        </w:rPr>
      </w:pPr>
      <w:r>
        <w:rPr>
          <w:color w:val="000000"/>
        </w:rPr>
        <w:t>Key findings</w:t>
      </w:r>
    </w:p>
    <w:p w14:paraId="1C5CB635" w14:textId="77777777" w:rsidR="00BC5284" w:rsidRDefault="00BC5284">
      <w:pPr>
        <w:pStyle w:val="TextBulletsPara"/>
      </w:pPr>
      <w:r>
        <w:rPr>
          <w:rStyle w:val="TextBullet"/>
        </w:rPr>
        <w:t>•</w:t>
      </w:r>
      <w:r>
        <w:rPr>
          <w:rStyle w:val="TextBullet"/>
        </w:rPr>
        <w:tab/>
      </w:r>
      <w:r>
        <w:t>Approximately three-quarters of all councils (73%) have a Heritage Advisor. This is quite unevenly distributed across the council categories. Just 38% of rural small councils have a Heritage Advisor.</w:t>
      </w:r>
    </w:p>
    <w:p w14:paraId="2BC6C953" w14:textId="77777777" w:rsidR="00BC5284" w:rsidRDefault="00BC5284">
      <w:pPr>
        <w:pStyle w:val="TextBulletsPara"/>
      </w:pPr>
      <w:r>
        <w:rPr>
          <w:rStyle w:val="TextBullet"/>
        </w:rPr>
        <w:t>•</w:t>
      </w:r>
      <w:r>
        <w:rPr>
          <w:rStyle w:val="TextBullet"/>
        </w:rPr>
        <w:tab/>
      </w:r>
      <w:r>
        <w:t>Approximately one-in-five councils (18%) have internal heritage staff. A total of 11 councils have internal heritage staff as well as a Heritage Advisor, while three councils have internal heritage staff and no Heritage Advisor.</w:t>
      </w:r>
    </w:p>
    <w:p w14:paraId="0426463B" w14:textId="77777777" w:rsidR="00BC5284" w:rsidRDefault="00BC5284">
      <w:pPr>
        <w:pStyle w:val="TextBulletsPara"/>
      </w:pPr>
      <w:r>
        <w:rPr>
          <w:rStyle w:val="TextBullet"/>
        </w:rPr>
        <w:t>•</w:t>
      </w:r>
      <w:r>
        <w:rPr>
          <w:rStyle w:val="TextBullet"/>
        </w:rPr>
        <w:tab/>
      </w:r>
      <w:r>
        <w:t>A total of 42 councils contracted a Heritage Advisor for a set number of hours each week</w:t>
      </w:r>
    </w:p>
    <w:p w14:paraId="4B60E713" w14:textId="77777777" w:rsidR="00BC5284" w:rsidRDefault="00BC5284" w:rsidP="006D242E">
      <w:pPr>
        <w:pStyle w:val="Text"/>
        <w:ind w:left="560" w:hanging="560"/>
      </w:pPr>
      <w:r>
        <w:tab/>
        <w:t>–</w:t>
      </w:r>
      <w:r>
        <w:tab/>
        <w:t>The number of set hours varied considerably: some councils contracted a Heritage Advisor three days per week, while others just half-an-hour per week</w:t>
      </w:r>
    </w:p>
    <w:p w14:paraId="5F8DB318" w14:textId="77777777" w:rsidR="00BC5284" w:rsidRDefault="00BC5284">
      <w:pPr>
        <w:pStyle w:val="Text"/>
      </w:pPr>
      <w:r>
        <w:tab/>
        <w:t>–</w:t>
      </w:r>
      <w:r>
        <w:tab/>
        <w:t>The average number of set hours worked by a Heritage Advisor was 7.6 per week.</w:t>
      </w:r>
    </w:p>
    <w:p w14:paraId="5A1C8ED6" w14:textId="77777777" w:rsidR="00BC5284" w:rsidRDefault="00BC5284">
      <w:pPr>
        <w:pStyle w:val="TextBulletsPara"/>
      </w:pPr>
      <w:r>
        <w:rPr>
          <w:rStyle w:val="TextBullet"/>
        </w:rPr>
        <w:t>•</w:t>
      </w:r>
      <w:r>
        <w:rPr>
          <w:rStyle w:val="TextBullet"/>
        </w:rPr>
        <w:tab/>
      </w:r>
      <w:r>
        <w:t xml:space="preserve">A total of 16 councils contracted a Heritage Advisor on an as-needs basis. </w:t>
      </w:r>
    </w:p>
    <w:p w14:paraId="14A08FE5" w14:textId="77777777" w:rsidR="00BC5284" w:rsidRDefault="00BC5284">
      <w:pPr>
        <w:pStyle w:val="TextBulletsPara"/>
      </w:pPr>
      <w:r>
        <w:rPr>
          <w:rStyle w:val="TextBullet"/>
        </w:rPr>
        <w:t>•</w:t>
      </w:r>
      <w:r>
        <w:rPr>
          <w:rStyle w:val="TextBullet"/>
        </w:rPr>
        <w:tab/>
      </w:r>
      <w:r>
        <w:t>A total of 22 councils do not have a Heritage Advisor or internal heritage staff. The main reasons given for this were lack of funding (59%) and lack of heritage activity in the LGA (36%).</w:t>
      </w:r>
    </w:p>
    <w:p w14:paraId="6EBD0A19" w14:textId="77777777" w:rsidR="00BC5284" w:rsidRDefault="00BC5284">
      <w:pPr>
        <w:pStyle w:val="Text"/>
        <w:rPr>
          <w:spacing w:val="-2"/>
        </w:rPr>
      </w:pPr>
      <w:r>
        <w:lastRenderedPageBreak/>
        <w:t xml:space="preserve">The data reveals that the use of Heritage Advisors or internal heritage staff is the most common measure used by councils to support their local heritage activities. While the percentage of councils with a Heritage Advisor dipped from 89% to 73% (an 18% decrease) after the State </w:t>
      </w:r>
      <w:r>
        <w:rPr>
          <w:spacing w:val="-2"/>
        </w:rPr>
        <w:t>Government withdrew funding in 2012, it still remains high.</w:t>
      </w:r>
    </w:p>
    <w:p w14:paraId="65394CFA" w14:textId="77777777" w:rsidR="00BC5284" w:rsidRDefault="00BC5284">
      <w:pPr>
        <w:pStyle w:val="Text"/>
      </w:pPr>
      <w:r>
        <w:t>There were several key benefits identified of having easy access to heritage advice. For the applicant, advisory services can help ensure that their planning permit application is compliant with the HO the first time, reducing costs associated with redrawing and resubmitting plans. For councils, compliant planning permit applications reduce the workload of statutory planners. Heritage advice also serves as a way to communicate the importance of heritage directly to the property owner and inform them of other supportive measures. Both the council and the community survey respondents identified public access to heritage advice as a strength of the current system.</w:t>
      </w:r>
    </w:p>
    <w:p w14:paraId="624B023D" w14:textId="77777777" w:rsidR="00BC5284" w:rsidRDefault="00BC5284">
      <w:pPr>
        <w:pStyle w:val="Text"/>
      </w:pPr>
      <w:r>
        <w:t>Of some concern is that 28% of councils employ a Heritage Advisor on an as-needs basis. This suggests that their Heritage Advisors are not readily available to provide heritage advice to the public and that councils are foregoing the benefits of a proper heritage advisory service.</w:t>
      </w:r>
    </w:p>
    <w:p w14:paraId="72A1BBD1" w14:textId="77777777" w:rsidR="00BC5284" w:rsidRDefault="00BC5284">
      <w:pPr>
        <w:pStyle w:val="FigureTitleandnumbernounderline"/>
      </w:pPr>
      <w:r>
        <w:t>Figure 3.13 Internal heritage staff</w:t>
      </w:r>
    </w:p>
    <w:p w14:paraId="41AF4314" w14:textId="77777777" w:rsidR="00BC5284" w:rsidRDefault="00BC5284">
      <w:pPr>
        <w:pStyle w:val="HeadingSubtitle2"/>
        <w:rPr>
          <w:color w:val="000000"/>
        </w:rPr>
      </w:pPr>
      <w:r>
        <w:rPr>
          <w:color w:val="000000"/>
        </w:rPr>
        <w:t>Financial incentives</w:t>
      </w:r>
    </w:p>
    <w:p w14:paraId="7BAD1D5F" w14:textId="77777777" w:rsidR="00BC5284" w:rsidRDefault="00BC5284">
      <w:pPr>
        <w:pStyle w:val="Text"/>
      </w:pPr>
      <w:r>
        <w:t xml:space="preserve">While free technical advice is a beneficial way to support local heritage, it is sometimes necessary to provide more direct support to owners of heritage places. One way to do this is through financial measures that can help owners conserve their local heritage places. The benefits of such measures are considerable: they not only provide a tangible demonstration that heritage is valued by their council, they also facilitate acceptance of heritage protection. Donovan </w:t>
      </w:r>
      <w:r>
        <w:rPr>
          <w:spacing w:val="-1"/>
        </w:rPr>
        <w:t xml:space="preserve">Rypkema’s 2005 book, </w:t>
      </w:r>
      <w:r>
        <w:rPr>
          <w:rStyle w:val="TextItalic"/>
          <w:iCs/>
          <w:spacing w:val="-1"/>
        </w:rPr>
        <w:t>The Economics of Historic Preservation:</w:t>
      </w:r>
      <w:r>
        <w:rPr>
          <w:rStyle w:val="TextItalic"/>
          <w:iCs/>
        </w:rPr>
        <w:t xml:space="preserve"> A Community Leader’s Guide</w:t>
      </w:r>
      <w:r>
        <w:t>, also shows that conservation work has a practical influence on the local economy, as it can lead to employment of local tradespeople. Conservation and adaptive reuse of heritage places also has wider direct and indirect benefits, including the formation of new business and jobs, the stimulation of tourism and private investment, increased property values and thus rate revenues, and instilling a sense of community pride (Rypkema 2005; Rypkema, Cheong &amp; Mason 2011).</w:t>
      </w:r>
    </w:p>
    <w:p w14:paraId="3B4CADD0" w14:textId="77777777" w:rsidR="00BC5284" w:rsidRDefault="00BC5284">
      <w:pPr>
        <w:pStyle w:val="Text"/>
      </w:pPr>
      <w:r>
        <w:t xml:space="preserve">In 2005, the HCOANZ prepared a national guide, </w:t>
      </w:r>
      <w:r>
        <w:rPr>
          <w:rStyle w:val="TextItalic"/>
          <w:iCs/>
        </w:rPr>
        <w:t>Incentives for Heritage Protection Handbook</w:t>
      </w:r>
      <w:r>
        <w:t>, for local councils wishing to establish financial measures to support heritage protection in their LGAs. It provides a list of the benefits of using incentives, which include:</w:t>
      </w:r>
    </w:p>
    <w:p w14:paraId="07B4D869" w14:textId="77777777" w:rsidR="00BC5284" w:rsidRDefault="00BC5284">
      <w:pPr>
        <w:pStyle w:val="TextBulletsPara"/>
      </w:pPr>
      <w:r>
        <w:rPr>
          <w:rStyle w:val="TextBullet"/>
        </w:rPr>
        <w:t>•</w:t>
      </w:r>
      <w:r>
        <w:rPr>
          <w:rStyle w:val="TextBullet"/>
        </w:rPr>
        <w:tab/>
      </w:r>
      <w:r>
        <w:t>improved community attitude, understanding and acceptance of planning and heritage controls, policy and decisions.</w:t>
      </w:r>
    </w:p>
    <w:p w14:paraId="3FDEF170" w14:textId="77777777" w:rsidR="00BC5284" w:rsidRDefault="00BC5284">
      <w:pPr>
        <w:pStyle w:val="TextBulletsPara"/>
        <w:rPr>
          <w:spacing w:val="-2"/>
        </w:rPr>
      </w:pPr>
      <w:r>
        <w:rPr>
          <w:rStyle w:val="TextBullet"/>
          <w:spacing w:val="-2"/>
        </w:rPr>
        <w:t>•</w:t>
      </w:r>
      <w:r>
        <w:rPr>
          <w:rStyle w:val="TextBullet"/>
          <w:spacing w:val="-2"/>
        </w:rPr>
        <w:tab/>
      </w:r>
      <w:r>
        <w:rPr>
          <w:spacing w:val="-2"/>
        </w:rPr>
        <w:t>increased conservation of heritage places in the local area</w:t>
      </w:r>
    </w:p>
    <w:p w14:paraId="66E11F7D" w14:textId="77777777" w:rsidR="00BC5284" w:rsidRDefault="00BC5284">
      <w:pPr>
        <w:pStyle w:val="TextBulletsPara"/>
      </w:pPr>
      <w:r>
        <w:rPr>
          <w:rStyle w:val="TextBullet"/>
        </w:rPr>
        <w:t>•</w:t>
      </w:r>
      <w:r>
        <w:rPr>
          <w:rStyle w:val="TextBullet"/>
        </w:rPr>
        <w:tab/>
      </w:r>
      <w:r>
        <w:t>improved streetscapes, main streets and public buildings through the maintenance, repair and use of important buildings.</w:t>
      </w:r>
    </w:p>
    <w:p w14:paraId="6581FB63" w14:textId="77777777" w:rsidR="00BC5284" w:rsidRDefault="00BC5284">
      <w:pPr>
        <w:pStyle w:val="Text"/>
      </w:pPr>
      <w:r>
        <w:t>Data has been collected on the number of councils that have financial incentives to support local heritage and the types of measures in place, which is presented in Figure 3.14. It is important to note that the question asked if councils had grants, loans, rates reductions or other measures (a free text input section).</w:t>
      </w:r>
    </w:p>
    <w:p w14:paraId="46960445" w14:textId="77777777" w:rsidR="00BC5284" w:rsidRDefault="00BC5284">
      <w:pPr>
        <w:pStyle w:val="HeadingSubtitle3"/>
        <w:rPr>
          <w:color w:val="000000"/>
        </w:rPr>
      </w:pPr>
      <w:r>
        <w:rPr>
          <w:color w:val="000000"/>
        </w:rPr>
        <w:t>Key findings</w:t>
      </w:r>
    </w:p>
    <w:p w14:paraId="042E95D9" w14:textId="77777777" w:rsidR="00BC5284" w:rsidRDefault="00BC5284">
      <w:pPr>
        <w:pStyle w:val="TextBulletsPara"/>
      </w:pPr>
      <w:r>
        <w:rPr>
          <w:rStyle w:val="TextBullet"/>
        </w:rPr>
        <w:t>•</w:t>
      </w:r>
      <w:r>
        <w:rPr>
          <w:rStyle w:val="TextBullet"/>
        </w:rPr>
        <w:tab/>
      </w:r>
      <w:r>
        <w:t>Relatively few councils – approximately one-third of all councils (35%) – offer some sort of financial incentive to support local heritage. This is quite unevenly distributed; 56% of all Metro Outer councils have at least one incentive, while just 19% of all Rural Small councils have one.</w:t>
      </w:r>
    </w:p>
    <w:p w14:paraId="0A3763F4" w14:textId="77777777" w:rsidR="00BC5284" w:rsidRDefault="00BC5284">
      <w:pPr>
        <w:pStyle w:val="TextBulletsPara"/>
      </w:pPr>
      <w:r>
        <w:rPr>
          <w:rStyle w:val="TextBullet"/>
        </w:rPr>
        <w:t>•</w:t>
      </w:r>
      <w:r>
        <w:rPr>
          <w:rStyle w:val="TextBullet"/>
        </w:rPr>
        <w:tab/>
      </w:r>
      <w:r>
        <w:t xml:space="preserve">Grants are the most common financial incentives (18), followed by loans (7) and rate reductions (2). Two councils waived fees for planning permits triggered solely by the HO. </w:t>
      </w:r>
    </w:p>
    <w:p w14:paraId="0A022B03" w14:textId="77777777" w:rsidR="00BC5284" w:rsidRDefault="00BC5284">
      <w:pPr>
        <w:pStyle w:val="TextBulletsPara"/>
      </w:pPr>
      <w:r>
        <w:rPr>
          <w:rStyle w:val="TextBullet"/>
        </w:rPr>
        <w:t>•</w:t>
      </w:r>
      <w:r>
        <w:rPr>
          <w:rStyle w:val="TextBullet"/>
        </w:rPr>
        <w:tab/>
      </w:r>
      <w:r>
        <w:t xml:space="preserve">Grants are the most common incentives for metropolitan councils. Only rural councils offer loans. </w:t>
      </w:r>
    </w:p>
    <w:p w14:paraId="1038BB61" w14:textId="77777777" w:rsidR="00BC5284" w:rsidRDefault="00BC5284">
      <w:pPr>
        <w:pStyle w:val="Text"/>
      </w:pPr>
      <w:r>
        <w:t>The data reveals that financial incentives are another underutilised measure to support owners of heritage places. This can be attributed to the cost to establish and run them. They require a financial commitment, either upfront in the case of grants and loans or the foregoing of revenue from council rates or planning permit fees. It can also be attributed to the difficulty in developing the incentives. HCOANZ’s guide is considerably out-of-date and does not satisfactorily explain how to establish or run them. There is an opportunity to better promote the use of financial incentives and develop a guide to assist in their creation and implementation.</w:t>
      </w:r>
    </w:p>
    <w:p w14:paraId="6B792EEF" w14:textId="77777777" w:rsidR="00605460" w:rsidRDefault="00605460">
      <w:pPr>
        <w:pStyle w:val="Text"/>
      </w:pPr>
    </w:p>
    <w:p w14:paraId="230A7798" w14:textId="77777777" w:rsidR="00605460" w:rsidRPr="00924E22" w:rsidRDefault="00924E22" w:rsidP="00924E22">
      <w:pPr>
        <w:pStyle w:val="CaseStudyHeading1"/>
        <w:rPr>
          <w:color w:val="000000"/>
          <w:spacing w:val="0"/>
          <w:sz w:val="32"/>
        </w:rPr>
      </w:pPr>
      <w:r w:rsidRPr="00924E22">
        <w:rPr>
          <w:color w:val="000000"/>
          <w:spacing w:val="0"/>
          <w:sz w:val="32"/>
        </w:rPr>
        <w:t xml:space="preserve">Case Study: </w:t>
      </w:r>
      <w:r w:rsidR="00605460" w:rsidRPr="00924E22">
        <w:rPr>
          <w:color w:val="000000"/>
          <w:spacing w:val="0"/>
          <w:sz w:val="32"/>
        </w:rPr>
        <w:t>Heritage Advisory Committee – Greater Bendigo City Council</w:t>
      </w:r>
    </w:p>
    <w:p w14:paraId="639AC3EE" w14:textId="77777777" w:rsidR="00605460" w:rsidRDefault="00605460" w:rsidP="00605460">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605460" w:rsidRPr="00BC5284" w14:paraId="248236DC"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35B66C4" w14:textId="77777777" w:rsidR="00605460" w:rsidRPr="00BC5284" w:rsidRDefault="00605460" w:rsidP="005040CF">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Rural City</w:t>
            </w:r>
          </w:p>
        </w:tc>
      </w:tr>
      <w:tr w:rsidR="00605460" w:rsidRPr="00BC5284" w14:paraId="5B5D1B20"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27F5E9A" w14:textId="77777777" w:rsidR="00605460" w:rsidRPr="00BC5284" w:rsidRDefault="00605460" w:rsidP="005040CF">
            <w:pPr>
              <w:pStyle w:val="TableText"/>
            </w:pPr>
            <w:r w:rsidRPr="00BC5284">
              <w:rPr>
                <w:rStyle w:val="TabletextBold"/>
                <w:rFonts w:cs="FreightSans Pro Bold"/>
                <w:bCs/>
              </w:rPr>
              <w:t xml:space="preserve">LGA size: </w:t>
            </w:r>
            <w:r w:rsidRPr="00BC5284">
              <w:rPr>
                <w:rStyle w:val="TabletextBold"/>
                <w:rFonts w:ascii="FreightSans Pro Medium" w:hAnsi="FreightSans Pro Medium"/>
                <w:b w:val="0"/>
              </w:rPr>
              <w:t>3,000km</w:t>
            </w:r>
            <w:r w:rsidRPr="00BC5284">
              <w:rPr>
                <w:rStyle w:val="TabletextBold"/>
                <w:rFonts w:ascii="FreightSans Pro Medium" w:hAnsi="FreightSans Pro Medium"/>
                <w:b w:val="0"/>
                <w:vertAlign w:val="superscript"/>
              </w:rPr>
              <w:t>2</w:t>
            </w:r>
          </w:p>
        </w:tc>
      </w:tr>
      <w:tr w:rsidR="00605460" w:rsidRPr="00BC5284" w14:paraId="307003FA"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DE68B05" w14:textId="77777777" w:rsidR="00605460" w:rsidRPr="00BC5284" w:rsidRDefault="00605460" w:rsidP="005040CF">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116,045</w:t>
            </w:r>
          </w:p>
        </w:tc>
      </w:tr>
      <w:tr w:rsidR="00605460" w:rsidRPr="00BC5284" w14:paraId="6979C6F4"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4555A65" w14:textId="77777777" w:rsidR="00605460" w:rsidRPr="00BC5284" w:rsidRDefault="00605460" w:rsidP="005040CF">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837</w:t>
            </w:r>
          </w:p>
        </w:tc>
      </w:tr>
    </w:tbl>
    <w:p w14:paraId="7FD27EEA" w14:textId="77777777" w:rsidR="00605460" w:rsidRDefault="00605460" w:rsidP="00605460">
      <w:pPr>
        <w:pStyle w:val="BasicParagraph"/>
      </w:pPr>
    </w:p>
    <w:p w14:paraId="495BD603" w14:textId="77777777" w:rsidR="00605460" w:rsidRPr="006D242E" w:rsidRDefault="00605460" w:rsidP="00605460">
      <w:pPr>
        <w:pStyle w:val="HeadingSubtitle2"/>
        <w:rPr>
          <w:rFonts w:ascii="FreightText Pro Bold" w:hAnsi="FreightText Pro Bold" w:cs="FreightText Pro Bold"/>
          <w:color w:val="000000"/>
          <w:sz w:val="20"/>
          <w:szCs w:val="20"/>
        </w:rPr>
      </w:pPr>
      <w:r>
        <w:rPr>
          <w:rStyle w:val="TextBold"/>
          <w:rFonts w:cs="FreightText Pro Bold"/>
          <w:b/>
          <w:szCs w:val="20"/>
        </w:rPr>
        <w:t>Greater Bendigo City Council is a regional LGA located approximately 150km northwest of Melbourne. Greater Bendigo, which comprises the city of Bendigo and its surrounds, has an extensive pre-contact history as well as its post-contact history as one of the epicentres of the Victorian gold rush of the 1850s. A legacy of this gold rush is the significant number of heritage places in the City, ranging from ornate late-Victorian buildings to humble miners’ cottages. It has an equally interesting pre-contact history, being the home to the Dja Dja Wurrung people and Taungurung people, the Traditional Owners of this land. The protection and celebration of this heritage is very important to residents of Greater Bendigo and the City Council.</w:t>
      </w:r>
    </w:p>
    <w:p w14:paraId="632E066E" w14:textId="77777777" w:rsidR="00605460" w:rsidRDefault="00605460" w:rsidP="00605460">
      <w:pPr>
        <w:pStyle w:val="HeadingSubtitle3-CaseStudy"/>
        <w:rPr>
          <w:color w:val="000000"/>
        </w:rPr>
      </w:pPr>
      <w:r>
        <w:rPr>
          <w:color w:val="000000"/>
        </w:rPr>
        <w:t>Issue</w:t>
      </w:r>
    </w:p>
    <w:p w14:paraId="77B9A5E4" w14:textId="77777777" w:rsidR="00605460" w:rsidRDefault="00605460" w:rsidP="00605460">
      <w:pPr>
        <w:pStyle w:val="Text-CaseStudy"/>
      </w:pPr>
      <w:r>
        <w:t>Guiding the heritage work of the City was the Greater Bendigo Heritage Advisory Committee (HAC). Prior to 2016, the HAC was less diverse in membership, vision and role, and focused on the protection of post-contact built heritage. There was an opportunity for it to more fully meet the needs of Council and community in advising on the broad heritage needs of the City.</w:t>
      </w:r>
    </w:p>
    <w:p w14:paraId="281E064E" w14:textId="77777777" w:rsidR="00605460" w:rsidRDefault="00605460" w:rsidP="00605460">
      <w:pPr>
        <w:pStyle w:val="HeadingSubtitle3-CaseStudy"/>
        <w:rPr>
          <w:color w:val="000000"/>
        </w:rPr>
      </w:pPr>
      <w:r>
        <w:rPr>
          <w:color w:val="000000"/>
        </w:rPr>
        <w:t>Action</w:t>
      </w:r>
    </w:p>
    <w:p w14:paraId="22E49629" w14:textId="77777777" w:rsidR="00605460" w:rsidRDefault="00605460" w:rsidP="00605460">
      <w:pPr>
        <w:pStyle w:val="Text-CaseStudy"/>
      </w:pPr>
      <w:r>
        <w:t>In 2016, the Greater Bendigo City Council recognised the benefit of expanding the function and responsibility of the HAC, enabling it to better reflect the City’s wider range of heritage considerations. It set about reforming the HAC’s terms of reference. These changes included diversifying the HAC’s membership. The HAC is currently comprised of Cr Matt Emond (as chair), various council officers, one representative from the Registered Aboriginal Parties for Greater Bendigo City Council, and a number of members of the public with an expertise or interest in heritage.  These members range in age, gender and backgrounds – the youngest committee member is in their 20s. The HAC also has a position for a representative from both Heritage Victoria and DELWP. Membership terms are limited to four years to ensure that new people with new ideas can join.</w:t>
      </w:r>
    </w:p>
    <w:p w14:paraId="366162BC" w14:textId="77777777" w:rsidR="00605460" w:rsidRDefault="00605460" w:rsidP="00605460">
      <w:pPr>
        <w:pStyle w:val="Text-CaseStudy"/>
      </w:pPr>
      <w:r>
        <w:t>The terms of reference were also changed to expand the HAC’s focus and role. The HAC’s focus was widened to include Aboriginal and natural heritage alongside the City’s built environment. Its role was also expanded beyond its previous role of discussing heritage nominations by the City’s Heritage Advisor. The Greater Bendigo HAC in its current iteration is afforded a more proactive role in Council affairs, advising the City Council on three distinct matters:</w:t>
      </w:r>
    </w:p>
    <w:p w14:paraId="511596D8" w14:textId="77777777" w:rsidR="00605460" w:rsidRDefault="00605460" w:rsidP="00605460">
      <w:pPr>
        <w:pStyle w:val="Text-CaseStudy"/>
        <w:ind w:left="280" w:hanging="280"/>
      </w:pPr>
      <w:r>
        <w:t>•</w:t>
      </w:r>
      <w:r>
        <w:tab/>
        <w:t>the identification, management and conservation, restoration and promotion of places of heritage significance in the municipality – the traditional role of heritage advisory committees</w:t>
      </w:r>
    </w:p>
    <w:p w14:paraId="4448C06C" w14:textId="77777777" w:rsidR="00605460" w:rsidRDefault="00605460" w:rsidP="00605460">
      <w:pPr>
        <w:pStyle w:val="Text-CaseStudy"/>
      </w:pPr>
      <w:r>
        <w:t>•</w:t>
      </w:r>
      <w:r>
        <w:tab/>
        <w:t>council’s strategic planning processes as it relates to heritage</w:t>
      </w:r>
    </w:p>
    <w:p w14:paraId="360AD4EA" w14:textId="77777777" w:rsidR="00605460" w:rsidRDefault="00605460" w:rsidP="00605460">
      <w:pPr>
        <w:pStyle w:val="Text-CaseStudy"/>
      </w:pPr>
      <w:r>
        <w:t>•</w:t>
      </w:r>
      <w:r>
        <w:tab/>
        <w:t>promoting community participation in heritage issues through awareness raising, education, engagement and mentoring.</w:t>
      </w:r>
    </w:p>
    <w:p w14:paraId="5896DB24" w14:textId="77777777" w:rsidR="00605460" w:rsidRDefault="00605460" w:rsidP="00605460">
      <w:pPr>
        <w:pStyle w:val="HeadingSubtitle3-CaseStudy"/>
        <w:rPr>
          <w:color w:val="000000"/>
        </w:rPr>
      </w:pPr>
      <w:r>
        <w:rPr>
          <w:color w:val="000000"/>
        </w:rPr>
        <w:t>Outcome</w:t>
      </w:r>
    </w:p>
    <w:p w14:paraId="2E61CE85" w14:textId="77777777" w:rsidR="00605460" w:rsidRDefault="00605460" w:rsidP="00605460">
      <w:pPr>
        <w:pStyle w:val="Text-CaseStudy"/>
      </w:pPr>
      <w:r>
        <w:t>The Greater Bendigo Heritage Advisory Committee was re-focused. According to its chair, one of the most significant achievements of the HAC to date has been boosting the profile of a wider range of heritage considerations within Council. They have made sure that local heritage is considered in all council strategic documents. The increased profile of local heritage has also meant that the HAC has been able to secure additional funding from the Council for heritage projects, on which they take a more active role by providing guidance.</w:t>
      </w:r>
    </w:p>
    <w:p w14:paraId="793C8101" w14:textId="77777777" w:rsidR="00605460" w:rsidRDefault="00605460" w:rsidP="00605460">
      <w:pPr>
        <w:pStyle w:val="HeadingSubtitle3-CaseStudy"/>
        <w:rPr>
          <w:color w:val="000000"/>
        </w:rPr>
      </w:pPr>
      <w:r>
        <w:rPr>
          <w:color w:val="000000"/>
        </w:rPr>
        <w:t>Lessons</w:t>
      </w:r>
    </w:p>
    <w:p w14:paraId="212E0883" w14:textId="77777777" w:rsidR="00605460" w:rsidRDefault="00605460" w:rsidP="00605460">
      <w:pPr>
        <w:pStyle w:val="Text-CaseStudy"/>
      </w:pPr>
      <w:r>
        <w:t>The Greater Bendigo City Council experience offers a number of lessons for the use of HACs:</w:t>
      </w:r>
    </w:p>
    <w:p w14:paraId="7E095AE2" w14:textId="77777777" w:rsidR="00605460" w:rsidRDefault="00605460" w:rsidP="00605460">
      <w:pPr>
        <w:pStyle w:val="Text-CaseStudy"/>
        <w:ind w:left="280" w:hanging="280"/>
      </w:pPr>
      <w:r>
        <w:t>•</w:t>
      </w:r>
      <w:r>
        <w:tab/>
        <w:t>by diversifying its membership, the HAC became more representative of the local community. The new members also brought with them a diversity of ideas and opinions</w:t>
      </w:r>
    </w:p>
    <w:p w14:paraId="47F09360" w14:textId="77777777" w:rsidR="00605460" w:rsidRDefault="00605460" w:rsidP="00605460">
      <w:pPr>
        <w:pStyle w:val="Text-CaseStudy"/>
        <w:ind w:left="280" w:hanging="280"/>
      </w:pPr>
      <w:r>
        <w:lastRenderedPageBreak/>
        <w:t>•</w:t>
      </w:r>
      <w:r>
        <w:tab/>
        <w:t>by increasing its scope to include Aboriginal and natural heritage, the HAC better aligned itself with the heritage valued by the community</w:t>
      </w:r>
    </w:p>
    <w:p w14:paraId="7352ACB4" w14:textId="77777777" w:rsidR="00605460" w:rsidRDefault="00605460" w:rsidP="00605460">
      <w:pPr>
        <w:pStyle w:val="Text-CaseStudy"/>
        <w:ind w:left="280" w:hanging="280"/>
      </w:pPr>
      <w:r>
        <w:t>•</w:t>
      </w:r>
      <w:r>
        <w:tab/>
        <w:t>by re-focusing its role to look at the importance of heritage in all aspects of the City’s work, the HAC has become a strong advocate, celebrating and promoting heritage in the community</w:t>
      </w:r>
    </w:p>
    <w:p w14:paraId="45B865A2" w14:textId="77777777" w:rsidR="00605460" w:rsidRDefault="00605460">
      <w:pPr>
        <w:pStyle w:val="Text"/>
      </w:pPr>
    </w:p>
    <w:p w14:paraId="4E1FD596" w14:textId="77777777" w:rsidR="00605460" w:rsidRPr="00924E22" w:rsidRDefault="00924E22" w:rsidP="00924E22">
      <w:pPr>
        <w:pStyle w:val="CaseStudyHeading1"/>
        <w:rPr>
          <w:color w:val="000000"/>
          <w:spacing w:val="0"/>
          <w:sz w:val="32"/>
        </w:rPr>
      </w:pPr>
      <w:r w:rsidRPr="00924E22">
        <w:rPr>
          <w:color w:val="000000"/>
          <w:spacing w:val="0"/>
          <w:sz w:val="32"/>
        </w:rPr>
        <w:t xml:space="preserve">Case Study: </w:t>
      </w:r>
      <w:r w:rsidR="00605460" w:rsidRPr="00924E22">
        <w:rPr>
          <w:color w:val="000000"/>
          <w:spacing w:val="0"/>
          <w:sz w:val="32"/>
        </w:rPr>
        <w:t>Heritage Advisory Service – Indigo Shire Council</w:t>
      </w:r>
    </w:p>
    <w:p w14:paraId="3651BE40" w14:textId="77777777" w:rsidR="00605460" w:rsidRDefault="00605460" w:rsidP="00605460">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605460" w:rsidRPr="00BC5284" w14:paraId="0501E69B"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8FC6028" w14:textId="77777777" w:rsidR="00605460" w:rsidRPr="00BC5284" w:rsidRDefault="00605460" w:rsidP="005040CF">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Rural Large</w:t>
            </w:r>
          </w:p>
        </w:tc>
      </w:tr>
      <w:tr w:rsidR="00605460" w:rsidRPr="00BC5284" w14:paraId="3AE2A901"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4F87664" w14:textId="77777777" w:rsidR="00605460" w:rsidRPr="00BC5284" w:rsidRDefault="00605460" w:rsidP="005040CF">
            <w:pPr>
              <w:pStyle w:val="TableText"/>
            </w:pPr>
            <w:r w:rsidRPr="00BC5284">
              <w:rPr>
                <w:rStyle w:val="TabletextBold"/>
                <w:rFonts w:cs="FreightSans Pro Bold"/>
                <w:bCs/>
              </w:rPr>
              <w:t xml:space="preserve">LGA size: </w:t>
            </w:r>
            <w:r w:rsidRPr="00BC5284">
              <w:rPr>
                <w:rStyle w:val="TabletextBold"/>
                <w:rFonts w:ascii="FreightSans Pro Medium" w:hAnsi="FreightSans Pro Medium"/>
                <w:b w:val="0"/>
              </w:rPr>
              <w:t>2,040km</w:t>
            </w:r>
            <w:r w:rsidRPr="00BC5284">
              <w:rPr>
                <w:rStyle w:val="TabletextBold"/>
                <w:rFonts w:ascii="FreightSans Pro Medium" w:hAnsi="FreightSans Pro Medium"/>
                <w:b w:val="0"/>
                <w:vertAlign w:val="superscript"/>
              </w:rPr>
              <w:t>2</w:t>
            </w:r>
          </w:p>
        </w:tc>
      </w:tr>
      <w:tr w:rsidR="00605460" w:rsidRPr="00BC5284" w14:paraId="04F11FEE"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47A5A91" w14:textId="77777777" w:rsidR="00605460" w:rsidRPr="00BC5284" w:rsidRDefault="00605460" w:rsidP="005040CF">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16,490</w:t>
            </w:r>
          </w:p>
        </w:tc>
      </w:tr>
      <w:tr w:rsidR="00605460" w:rsidRPr="00BC5284" w14:paraId="312958D3"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162AA3B" w14:textId="77777777" w:rsidR="00605460" w:rsidRPr="00BC5284" w:rsidRDefault="00605460" w:rsidP="005040CF">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730</w:t>
            </w:r>
          </w:p>
        </w:tc>
      </w:tr>
    </w:tbl>
    <w:p w14:paraId="1A4163C2" w14:textId="77777777" w:rsidR="00605460" w:rsidRDefault="00605460" w:rsidP="00605460">
      <w:pPr>
        <w:pStyle w:val="BasicParagraph"/>
      </w:pPr>
    </w:p>
    <w:p w14:paraId="599CB96E" w14:textId="77777777" w:rsidR="00605460" w:rsidRPr="006D242E" w:rsidRDefault="00605460" w:rsidP="00605460">
      <w:pPr>
        <w:pStyle w:val="HeadingSubtitle2"/>
        <w:rPr>
          <w:rFonts w:ascii="FreightText Pro Bold" w:hAnsi="FreightText Pro Bold" w:cs="FreightText Pro Bold"/>
          <w:color w:val="000000"/>
          <w:sz w:val="20"/>
          <w:szCs w:val="20"/>
        </w:rPr>
      </w:pPr>
      <w:r>
        <w:rPr>
          <w:rStyle w:val="TextBold"/>
          <w:rFonts w:cs="FreightText Pro Bold"/>
          <w:b/>
          <w:szCs w:val="20"/>
        </w:rPr>
        <w:t>Indigo Shire Council is a rural LGA located approximately 270km northeast of Melbourne. Indigo is famous for its well-preserved historical towns that date back to the Victorian gold rush of the mid-1850s. The Shire is home to a vast number of heritage places. It is also home to one of the longest-running heritage advisory services in Victoria.</w:t>
      </w:r>
    </w:p>
    <w:p w14:paraId="6C829463" w14:textId="77777777" w:rsidR="00605460" w:rsidRDefault="00605460" w:rsidP="00605460">
      <w:pPr>
        <w:pStyle w:val="HeadingSubtitle3-CaseStudy"/>
        <w:rPr>
          <w:color w:val="000000"/>
        </w:rPr>
      </w:pPr>
      <w:r>
        <w:rPr>
          <w:color w:val="000000"/>
        </w:rPr>
        <w:t>Issue</w:t>
      </w:r>
    </w:p>
    <w:p w14:paraId="68839B97" w14:textId="77777777" w:rsidR="00605460" w:rsidRDefault="00605460" w:rsidP="00605460">
      <w:pPr>
        <w:pStyle w:val="Text-CaseStudy"/>
      </w:pPr>
      <w:r>
        <w:t>Property owners were unsure about the effects of the Heritage Overlay on development.</w:t>
      </w:r>
    </w:p>
    <w:p w14:paraId="1BF4D2FD" w14:textId="77777777" w:rsidR="00605460" w:rsidRDefault="00605460" w:rsidP="00605460">
      <w:pPr>
        <w:pStyle w:val="HeadingSubtitle3-CaseStudy"/>
        <w:rPr>
          <w:color w:val="000000"/>
        </w:rPr>
      </w:pPr>
      <w:r>
        <w:rPr>
          <w:color w:val="000000"/>
        </w:rPr>
        <w:t>Action</w:t>
      </w:r>
    </w:p>
    <w:p w14:paraId="1A4EF34D" w14:textId="77777777" w:rsidR="00605460" w:rsidRDefault="00605460" w:rsidP="00605460">
      <w:pPr>
        <w:pStyle w:val="Text-CaseStudy"/>
      </w:pPr>
      <w:r>
        <w:t xml:space="preserve">A heritage advisory service was originally established by the State Government in 1979 to cover the United Shire of Beechworth and the Shires of Chiltern and Yackandandah. This was fifteen years before these shires were amalgamated with the Shire of Rutherglen to become the Indigo Shire Council. For 41 years, the advisory service has offered residents of heritage places the opportunity to meet in-person or over the telephone with Council’s qualified and experienced Heritage Advisor to discuss if – and how – a heritage place may be developed. </w:t>
      </w:r>
    </w:p>
    <w:p w14:paraId="61D89E12" w14:textId="77777777" w:rsidR="00605460" w:rsidRDefault="00605460" w:rsidP="00605460">
      <w:pPr>
        <w:pStyle w:val="Text-CaseStudy"/>
      </w:pPr>
      <w:r>
        <w:t>The Heritage Advisor is available to meet one day per week. All meetings need to be booked in advance, to allow the Heritage Advisor time to research the heritage significance of the property and assess impacts of the application. To do this, Indigo Shire has developed a novel online form for residents to fill out, providing all the information necessary for the Heritage Advisor to provide sound heritage advice. However, as noted by the Heritage Advisor, many of the older residents still prefer to book the meeting over the telephone. The meeting requests are triaged by a council officer before being given to Heritage Advisor.</w:t>
      </w:r>
    </w:p>
    <w:p w14:paraId="4E351538" w14:textId="77777777" w:rsidR="00605460" w:rsidRDefault="00605460" w:rsidP="00605460">
      <w:pPr>
        <w:pStyle w:val="Text-CaseStudy"/>
      </w:pPr>
      <w:r>
        <w:t xml:space="preserve">The heritage advisory service meetings serve as a pre-application meeting with owners of a heritage place to ensure </w:t>
      </w:r>
      <w:r>
        <w:rPr>
          <w:spacing w:val="-3"/>
        </w:rPr>
        <w:t>that planning permit applications comply with the requirements</w:t>
      </w:r>
      <w:r>
        <w:t xml:space="preserve"> of the HO. This can reduce costs for the applicant by ensuring that their plans are compliant the first time they are submitted. This is the traditional role of the Heritage Advisor. However, importantly, the meetings also serve as a way to communicate the importance of heritage directly to the property owner and inform them of supportive measures, such as Indigo Shire Council’s Heritage Loan Scheme. </w:t>
      </w:r>
    </w:p>
    <w:p w14:paraId="657BE8C6" w14:textId="77777777" w:rsidR="00784AD2" w:rsidRDefault="00605460" w:rsidP="00605460">
      <w:pPr>
        <w:pStyle w:val="Text-CaseStudy"/>
      </w:pPr>
      <w:r>
        <w:t xml:space="preserve">When not dealing with the public, the Heritage Advisor also provides advice to Council on planning permit applications, strategic planning and heritage asset management, and provides heritage training and upskilling for planners. </w:t>
      </w:r>
    </w:p>
    <w:p w14:paraId="5D9DCF31" w14:textId="77777777" w:rsidR="00605460" w:rsidRDefault="00605460" w:rsidP="00605460">
      <w:pPr>
        <w:pStyle w:val="Text-CaseStudy"/>
      </w:pPr>
      <w:r>
        <w:t>The current cost of the service to Council is approximately $60,000 per annum.</w:t>
      </w:r>
    </w:p>
    <w:p w14:paraId="0A226DC9" w14:textId="77777777" w:rsidR="00605460" w:rsidRDefault="00605460" w:rsidP="00605460">
      <w:pPr>
        <w:pStyle w:val="HeadingSubtitle3-CaseStudy"/>
        <w:rPr>
          <w:color w:val="000000"/>
        </w:rPr>
      </w:pPr>
      <w:r>
        <w:rPr>
          <w:color w:val="000000"/>
        </w:rPr>
        <w:t>Outcome</w:t>
      </w:r>
    </w:p>
    <w:p w14:paraId="65DA6978" w14:textId="77777777" w:rsidR="00605460" w:rsidRDefault="00605460" w:rsidP="00605460">
      <w:pPr>
        <w:pStyle w:val="Text-CaseStudy"/>
        <w:rPr>
          <w:spacing w:val="-4"/>
        </w:rPr>
      </w:pPr>
      <w:r>
        <w:t xml:space="preserve">Each year, the Indigo heritage advisory service deals with over one hundred applications, which equates to approximately one-third of all planning permit applications in the Shire. One council officer noted that the service has led to countless positive planning outcomes and helped to instill pride in local </w:t>
      </w:r>
      <w:r>
        <w:rPr>
          <w:spacing w:val="-4"/>
        </w:rPr>
        <w:t>heritage amongst heritage property owners throughout the LGA.</w:t>
      </w:r>
    </w:p>
    <w:p w14:paraId="070D1C4E" w14:textId="77777777" w:rsidR="00605460" w:rsidRDefault="00605460" w:rsidP="00605460">
      <w:pPr>
        <w:pStyle w:val="HeadingSubtitle3-CaseStudy"/>
        <w:rPr>
          <w:color w:val="000000"/>
        </w:rPr>
      </w:pPr>
      <w:r>
        <w:rPr>
          <w:color w:val="000000"/>
        </w:rPr>
        <w:t>Lessons</w:t>
      </w:r>
    </w:p>
    <w:p w14:paraId="1D038B8B" w14:textId="77777777" w:rsidR="00605460" w:rsidRDefault="00605460" w:rsidP="00605460">
      <w:pPr>
        <w:pStyle w:val="Text-CaseStudy"/>
      </w:pPr>
      <w:r>
        <w:lastRenderedPageBreak/>
        <w:t xml:space="preserve">Heritage Advisors are a staple of the local heritage system in Victoria. While most councils have an Advisor, not all of them perform a public service role. The Indigo Shire Council case demonstrates how valuable such a role can be. While there is expense associated with having Heritage Advisors perform a public service role, it may save councils money in the long run, as planning permit applications can be processed without the need for officers to go back and forth between the applicant and Heritage Advisor. </w:t>
      </w:r>
    </w:p>
    <w:p w14:paraId="2C0D179C" w14:textId="77777777" w:rsidR="00605460" w:rsidRDefault="00605460" w:rsidP="00784AD2">
      <w:pPr>
        <w:pStyle w:val="Text-CaseStudy"/>
      </w:pPr>
      <w:r>
        <w:t>The case also demonstrates how an advisory service can be used for more than just advice. It can communicate the importance of heritage, the existence of supporting measures and instill pride in heritage property owners.</w:t>
      </w:r>
    </w:p>
    <w:p w14:paraId="0D4F736C" w14:textId="77777777" w:rsidR="00784AD2" w:rsidRDefault="00784AD2" w:rsidP="00784AD2">
      <w:pPr>
        <w:pStyle w:val="Text-CaseStudy"/>
      </w:pPr>
    </w:p>
    <w:p w14:paraId="3C0BAF1B" w14:textId="77777777" w:rsidR="00784AD2" w:rsidRPr="00924E22" w:rsidRDefault="00924E22" w:rsidP="00924E22">
      <w:pPr>
        <w:pStyle w:val="CaseStudyHeading1"/>
        <w:rPr>
          <w:color w:val="000000"/>
          <w:spacing w:val="0"/>
          <w:sz w:val="32"/>
        </w:rPr>
      </w:pPr>
      <w:r w:rsidRPr="00924E22">
        <w:rPr>
          <w:color w:val="000000"/>
          <w:spacing w:val="0"/>
          <w:sz w:val="32"/>
        </w:rPr>
        <w:t xml:space="preserve">Case Study: </w:t>
      </w:r>
      <w:r w:rsidR="00784AD2" w:rsidRPr="00924E22">
        <w:rPr>
          <w:color w:val="000000"/>
          <w:spacing w:val="0"/>
          <w:sz w:val="32"/>
        </w:rPr>
        <w:t>Financial incentives – Glenelg Shire Council</w:t>
      </w:r>
    </w:p>
    <w:p w14:paraId="2749737B" w14:textId="77777777" w:rsidR="00784AD2" w:rsidRDefault="00784AD2" w:rsidP="00784AD2">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784AD2" w:rsidRPr="00BC5284" w14:paraId="75764AC0"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7DFF2E6" w14:textId="77777777" w:rsidR="00784AD2" w:rsidRPr="00BC5284" w:rsidRDefault="00784AD2" w:rsidP="005040CF">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Rural Large</w:t>
            </w:r>
          </w:p>
        </w:tc>
      </w:tr>
      <w:tr w:rsidR="00784AD2" w:rsidRPr="00BC5284" w14:paraId="71408BD5"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61EA8DA" w14:textId="77777777" w:rsidR="00784AD2" w:rsidRPr="00BC5284" w:rsidRDefault="00784AD2" w:rsidP="005040CF">
            <w:pPr>
              <w:pStyle w:val="TableText"/>
            </w:pPr>
            <w:r w:rsidRPr="00BC5284">
              <w:rPr>
                <w:rStyle w:val="TabletextBold"/>
                <w:rFonts w:cs="FreightSans Pro Bold"/>
                <w:bCs/>
              </w:rPr>
              <w:t xml:space="preserve">LGA size: </w:t>
            </w:r>
            <w:r w:rsidRPr="00BC5284">
              <w:rPr>
                <w:rStyle w:val="TabletextBold"/>
                <w:rFonts w:ascii="FreightSans Pro Medium" w:hAnsi="FreightSans Pro Medium"/>
                <w:b w:val="0"/>
              </w:rPr>
              <w:t>6,219km</w:t>
            </w:r>
            <w:r w:rsidRPr="00BC5284">
              <w:rPr>
                <w:rStyle w:val="TabletextBold"/>
                <w:rFonts w:ascii="FreightSans Pro Medium" w:hAnsi="FreightSans Pro Medium"/>
                <w:b w:val="0"/>
                <w:vertAlign w:val="superscript"/>
              </w:rPr>
              <w:t>2</w:t>
            </w:r>
          </w:p>
        </w:tc>
      </w:tr>
      <w:tr w:rsidR="00784AD2" w:rsidRPr="00BC5284" w14:paraId="6BF34FD6"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4416602" w14:textId="77777777" w:rsidR="00784AD2" w:rsidRPr="00BC5284" w:rsidRDefault="00784AD2" w:rsidP="005040CF">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19,665</w:t>
            </w:r>
          </w:p>
        </w:tc>
      </w:tr>
      <w:tr w:rsidR="00784AD2" w:rsidRPr="00BC5284" w14:paraId="7EE57012"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04AC145" w14:textId="77777777" w:rsidR="00784AD2" w:rsidRPr="00BC5284" w:rsidRDefault="00784AD2" w:rsidP="005040CF">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282</w:t>
            </w:r>
          </w:p>
        </w:tc>
      </w:tr>
    </w:tbl>
    <w:p w14:paraId="4309540E" w14:textId="77777777" w:rsidR="00784AD2" w:rsidRDefault="00784AD2" w:rsidP="00784AD2">
      <w:pPr>
        <w:pStyle w:val="BasicParagraph"/>
      </w:pPr>
    </w:p>
    <w:p w14:paraId="57EA7E1E" w14:textId="77777777" w:rsidR="00784AD2" w:rsidRPr="006D242E" w:rsidRDefault="00784AD2" w:rsidP="00784AD2">
      <w:pPr>
        <w:pStyle w:val="Text"/>
        <w:rPr>
          <w:rFonts w:ascii="FreightText Pro Bold" w:hAnsi="FreightText Pro Bold" w:cs="FreightText Pro Bold"/>
          <w:b/>
          <w:bCs/>
        </w:rPr>
      </w:pPr>
      <w:r>
        <w:rPr>
          <w:rStyle w:val="TextBold"/>
          <w:rFonts w:cs="FreightText Pro Bold"/>
          <w:bCs/>
        </w:rPr>
        <w:t>Glenelg Shire Council is a rural LGA located approximately 350km west of Melbourne on the coast of Bass Strait. Despite a relatively small population, the Glenelg Shire Council is making big efforts to support owners of local heritage places.</w:t>
      </w:r>
    </w:p>
    <w:p w14:paraId="59F5275A" w14:textId="77777777" w:rsidR="00784AD2" w:rsidRDefault="00784AD2" w:rsidP="00784AD2">
      <w:pPr>
        <w:pStyle w:val="HeadingSubtitle3-CaseStudy"/>
        <w:rPr>
          <w:color w:val="000000"/>
        </w:rPr>
      </w:pPr>
      <w:r>
        <w:rPr>
          <w:color w:val="000000"/>
        </w:rPr>
        <w:t>Issue</w:t>
      </w:r>
    </w:p>
    <w:p w14:paraId="2CF39B76" w14:textId="77777777" w:rsidR="00784AD2" w:rsidRDefault="00784AD2" w:rsidP="00784AD2">
      <w:pPr>
        <w:pStyle w:val="Text-CaseStudy"/>
      </w:pPr>
      <w:r>
        <w:t>Local heritage and its conservation were viewed in a negative light.</w:t>
      </w:r>
    </w:p>
    <w:p w14:paraId="189FC9B3" w14:textId="77777777" w:rsidR="00784AD2" w:rsidRDefault="00784AD2" w:rsidP="00784AD2">
      <w:pPr>
        <w:pStyle w:val="HeadingSubtitle3-CaseStudy"/>
        <w:rPr>
          <w:color w:val="000000"/>
        </w:rPr>
      </w:pPr>
      <w:r>
        <w:rPr>
          <w:color w:val="000000"/>
        </w:rPr>
        <w:t>Action</w:t>
      </w:r>
    </w:p>
    <w:p w14:paraId="4509849C" w14:textId="77777777" w:rsidR="00784AD2" w:rsidRDefault="00784AD2" w:rsidP="00784AD2">
      <w:pPr>
        <w:pStyle w:val="Text-CaseStudy"/>
      </w:pPr>
      <w:r>
        <w:t>Glenelg Shire Council has implemented a number of financial incentives to help improve local heritage conservation and its public perception.</w:t>
      </w:r>
    </w:p>
    <w:p w14:paraId="19313170" w14:textId="77777777" w:rsidR="00784AD2" w:rsidRDefault="00784AD2" w:rsidP="00784AD2">
      <w:pPr>
        <w:pStyle w:val="HeadingSubtitle4"/>
        <w:rPr>
          <w:color w:val="000000"/>
        </w:rPr>
      </w:pPr>
      <w:r>
        <w:rPr>
          <w:color w:val="000000"/>
        </w:rPr>
        <w:t>Loans and grants</w:t>
      </w:r>
    </w:p>
    <w:p w14:paraId="0F424439" w14:textId="77777777" w:rsidR="00784AD2" w:rsidRDefault="00784AD2" w:rsidP="00784AD2">
      <w:pPr>
        <w:pStyle w:val="Text-CaseStudy"/>
      </w:pPr>
      <w:r>
        <w:t>The Council’s longest-running measure is its Heritage Loan and Grant Scheme, established in 1984 through a grant from the then Minister of Planning and Environment. The Scheme currently offers owners of individually significant or contributory heritage places – or properties deemed to be significant by its Heritage Advisor but not yet currently protected – the opportunity to apply for loans or grants to complete maintenance, conservation or restoration works on their property. Grants are available for up to 50% of the value of the works, to a maximum of $10,000. These are paid after the satisfactory completion of the works. Loans are available for 50% of the value of works, for between $10,000 and $40,000. The loans are interest-free for residential projects and 1.5% for commercial projects, and are repayable monthly over a period of three years. Works include urgent works, such as roof repairs and restumping, and non-urgent works, such as verandas and fences. The Scheme is advertised to property owners primarily through the council website and during interactions with the public. In the past financial year, five grants were approved to the value of $40,000. A total of $86,000 has been provided in grants over the past five years. Council tops up the Scheme fund by approximately $10,000 each financial year. There have been no loan applications since 2016, which council officers have attributed to the availability of record-low interest rates.</w:t>
      </w:r>
    </w:p>
    <w:p w14:paraId="7C3FEA76" w14:textId="77777777" w:rsidR="00784AD2" w:rsidRDefault="00784AD2" w:rsidP="00784AD2">
      <w:pPr>
        <w:pStyle w:val="HeadingSubtitle4"/>
        <w:rPr>
          <w:color w:val="000000"/>
        </w:rPr>
      </w:pPr>
      <w:r>
        <w:rPr>
          <w:color w:val="000000"/>
        </w:rPr>
        <w:t>Planning permit fee waiver</w:t>
      </w:r>
    </w:p>
    <w:p w14:paraId="3B12B411" w14:textId="77777777" w:rsidR="00784AD2" w:rsidRDefault="00784AD2" w:rsidP="00784AD2">
      <w:pPr>
        <w:pStyle w:val="Text-CaseStudy"/>
      </w:pPr>
      <w:r>
        <w:t>In 2014, the Council implemented a policy to waive fees for planning permits triggered solely by the Heritage Overlay. The rationale behind the policy was that owners of heritage-listed places should not be financially disadvantaged by the expense of needing to pay for planning permits. The policy is made possible through the Planning and Environment (Fees) Interim Regulations 2013 (Section 16 (e) (ii)), which says that local councils are entitled to ‘wholly or in part waive or rebate the payment of a fee that the authority or the Minister has received or is entitled to receive’ if it ‘assists the preservation of buildings or places in the State, regional or municipal district that are of historical or environmental interest’. For the 2018–19 financial year, 18 planning permit fees were waived, at a cost to council of approximately $8,000.</w:t>
      </w:r>
    </w:p>
    <w:p w14:paraId="5792CC1D" w14:textId="77777777" w:rsidR="00784AD2" w:rsidRDefault="00784AD2" w:rsidP="00784AD2">
      <w:pPr>
        <w:pStyle w:val="HeadingSubtitle4"/>
        <w:rPr>
          <w:color w:val="000000"/>
        </w:rPr>
      </w:pPr>
      <w:r>
        <w:rPr>
          <w:color w:val="000000"/>
        </w:rPr>
        <w:t>Free heritage advice</w:t>
      </w:r>
    </w:p>
    <w:p w14:paraId="35AD4981" w14:textId="77777777" w:rsidR="00784AD2" w:rsidRDefault="00784AD2" w:rsidP="00784AD2">
      <w:pPr>
        <w:pStyle w:val="Text-CaseStudy"/>
      </w:pPr>
      <w:r>
        <w:lastRenderedPageBreak/>
        <w:t>Like many other councils, Glenelg Shire Council offers free heritage advice through its heritage advisory service. Council’s Heritage Advisor works through a range of heritage planning matters and is available once a month to meet with property owners in person. Council budgets approximately $45,000 per annum for this service.</w:t>
      </w:r>
    </w:p>
    <w:p w14:paraId="53E9B2F4" w14:textId="77777777" w:rsidR="00784AD2" w:rsidRDefault="00784AD2" w:rsidP="00784AD2">
      <w:pPr>
        <w:pStyle w:val="HeadingSubtitle3-CaseStudy"/>
        <w:rPr>
          <w:color w:val="000000"/>
        </w:rPr>
      </w:pPr>
      <w:r>
        <w:rPr>
          <w:color w:val="000000"/>
        </w:rPr>
        <w:t>Outcome</w:t>
      </w:r>
    </w:p>
    <w:p w14:paraId="4783135B" w14:textId="77777777" w:rsidR="00784AD2" w:rsidRDefault="00784AD2" w:rsidP="00784AD2">
      <w:pPr>
        <w:pStyle w:val="Text-CaseStudy"/>
      </w:pPr>
      <w:r>
        <w:t>The financial incentives are known and largely being utilised by the community. Council officers reflected that although it is hard to quantify, in their opinion the measures have helped to improve perceptions and acceptance of the Heritage Overlay. They have also been of benefit to the local economy, as the grant works have been completed by mostly local tradespeople.</w:t>
      </w:r>
    </w:p>
    <w:p w14:paraId="0A8A664D" w14:textId="77777777" w:rsidR="00784AD2" w:rsidRDefault="00784AD2" w:rsidP="00784AD2">
      <w:pPr>
        <w:pStyle w:val="HeadingSubtitle3-CaseStudy"/>
        <w:rPr>
          <w:color w:val="000000"/>
        </w:rPr>
      </w:pPr>
      <w:r>
        <w:rPr>
          <w:color w:val="000000"/>
        </w:rPr>
        <w:t>Lessons</w:t>
      </w:r>
    </w:p>
    <w:p w14:paraId="7A833C16" w14:textId="77777777" w:rsidR="00784AD2" w:rsidRDefault="00784AD2" w:rsidP="00784AD2">
      <w:pPr>
        <w:pStyle w:val="Text-CaseStudy"/>
      </w:pPr>
      <w:r>
        <w:t>The Glenelg Shire Council experience highlights that financial incentives are a useful way to demonstrate the importance of local heritage and its conservation to the community, as well as supporting owners to conduct conservation works.</w:t>
      </w:r>
    </w:p>
    <w:p w14:paraId="17A506F7" w14:textId="77777777" w:rsidR="00BC5284" w:rsidRDefault="00BC5284">
      <w:pPr>
        <w:pStyle w:val="Headingsubtitle1"/>
        <w:rPr>
          <w:color w:val="000000"/>
        </w:rPr>
      </w:pPr>
      <w:r>
        <w:rPr>
          <w:color w:val="000000"/>
        </w:rPr>
        <w:t>3.6 Communicating local heritage</w:t>
      </w:r>
    </w:p>
    <w:p w14:paraId="3108E5A8" w14:textId="77777777" w:rsidR="00BC5284" w:rsidRDefault="00BC5284">
      <w:pPr>
        <w:pStyle w:val="Text"/>
      </w:pPr>
      <w:r>
        <w:t>The fourth step in the local heritage process involves ensuring the community understands the local heritage system and promoting the value of this local heritage to the public. This involves providing both basic heritage information, such as how the system works and which properties are covered by the HO, as well as more complex information, such as the value and importance of local heritage.</w:t>
      </w:r>
    </w:p>
    <w:p w14:paraId="3D5F3326" w14:textId="77777777" w:rsidR="00BC5284" w:rsidRDefault="00BC5284">
      <w:pPr>
        <w:pStyle w:val="HeadingSubtitle2"/>
        <w:rPr>
          <w:color w:val="000000"/>
        </w:rPr>
      </w:pPr>
      <w:r>
        <w:rPr>
          <w:color w:val="000000"/>
        </w:rPr>
        <w:t>Availability of heritage data and documentation</w:t>
      </w:r>
    </w:p>
    <w:p w14:paraId="083A1FD6" w14:textId="77777777" w:rsidR="00BC5284" w:rsidRDefault="00BC5284">
      <w:pPr>
        <w:pStyle w:val="Text"/>
      </w:pPr>
      <w:r>
        <w:t>It is important for the public to know what local heritage exists and why it is significant to the local community. The former is available through each council’s planning scheme (both the HO schedule and maps), which can be accessed via the DELWP website. However, statements of significance are harder to find. Heritage Overlays approved since 31 July 2018 have their statements of significance incorporated into the planning scheme.</w:t>
      </w:r>
    </w:p>
    <w:p w14:paraId="38E3FEDA" w14:textId="77777777" w:rsidR="00BC5284" w:rsidRDefault="00BC5284">
      <w:pPr>
        <w:pStyle w:val="Text"/>
      </w:pPr>
      <w:r>
        <w:t xml:space="preserve">The State Government developed HERMES (HERitage Management Electronic System), an electronic heritage database to manage information about all heritage places identified and protected across Victoria. DELWP currently manages the system and the Heritage Council manages the public interface, the Victorian Heritage Database (VHD). Councils are instructed in </w:t>
      </w:r>
      <w:r>
        <w:rPr>
          <w:rStyle w:val="TextItalic"/>
          <w:iCs/>
        </w:rPr>
        <w:t>Planning Practice Note 1</w:t>
      </w:r>
      <w:r>
        <w:t xml:space="preserve"> to store their statements of significance in HERMES and make them publicly viewable on the VHD. Currently 24 councils have allowed this data to be made viewable to the public through the VHD. Several councils have created their own mapping platforms that incorporate this data. This sometimes comes at the expense of using HERMES or making their data publicly viewable. </w:t>
      </w:r>
    </w:p>
    <w:p w14:paraId="1DB4CE2F" w14:textId="77777777" w:rsidR="00234914" w:rsidRDefault="00234914" w:rsidP="00234914">
      <w:pPr>
        <w:pStyle w:val="FigureTitleandnumbernounderline"/>
      </w:pPr>
      <w:r>
        <w:t>Figure 3.14 Financial incentives</w:t>
      </w:r>
    </w:p>
    <w:p w14:paraId="3C56A483" w14:textId="77777777" w:rsidR="00BC5284" w:rsidRDefault="00BC5284">
      <w:pPr>
        <w:pStyle w:val="Text"/>
      </w:pPr>
      <w:r>
        <w:t>HERMES also serves as a repository for heritage studies. During the 2000s, the State Government provided funding for councils to digitise and upload their old heritage studies to HERMES, with the intention that new ones would be uploaded as well. Unfortunately, these studies are not available to the public through this interface.</w:t>
      </w:r>
    </w:p>
    <w:p w14:paraId="62F1FB59" w14:textId="77777777" w:rsidR="00BC5284" w:rsidRDefault="00BC5284">
      <w:pPr>
        <w:pStyle w:val="Text"/>
      </w:pPr>
      <w:r>
        <w:t>The council survey asked councils if they had their heritage data stored in HERMES. This question sought to reflect on the availability, or not, of local heritage data to the general public and inform some of the Heritage Council’s strategic work around the VHD and HERMES. Participants that responded ‘yes’ were asked when this data was last updated, while participants that responded ‘no’ were asked why this was the case. The data on the number of councils that have their heritage data on HERMES is presented in Figure 3.15.</w:t>
      </w:r>
    </w:p>
    <w:p w14:paraId="7844634A" w14:textId="77777777" w:rsidR="00BC5284" w:rsidRDefault="00BC5284">
      <w:pPr>
        <w:pStyle w:val="HeadingSubtitle3"/>
        <w:rPr>
          <w:color w:val="000000"/>
        </w:rPr>
      </w:pPr>
      <w:r>
        <w:rPr>
          <w:color w:val="000000"/>
        </w:rPr>
        <w:t>Key findings</w:t>
      </w:r>
    </w:p>
    <w:p w14:paraId="72A2058A" w14:textId="77777777" w:rsidR="00BC5284" w:rsidRDefault="00BC5284">
      <w:pPr>
        <w:pStyle w:val="TextBulletsPara"/>
      </w:pPr>
      <w:r>
        <w:rPr>
          <w:rStyle w:val="TextBullet"/>
        </w:rPr>
        <w:t>•</w:t>
      </w:r>
      <w:r>
        <w:rPr>
          <w:rStyle w:val="TextBullet"/>
        </w:rPr>
        <w:tab/>
      </w:r>
      <w:r>
        <w:t>Two-thirds of all councils (66%) reported having their heritage data in HERMES. This figure varies between the council type categories. The Rural City councils have the largest proportion of councils with their data on HERMES (92%), while the Metro Outer have the smallest proportion (44%).</w:t>
      </w:r>
    </w:p>
    <w:p w14:paraId="4CBB827B" w14:textId="77777777" w:rsidR="00BC5284" w:rsidRDefault="00BC5284">
      <w:pPr>
        <w:pStyle w:val="TextBulletsPara"/>
      </w:pPr>
      <w:r>
        <w:rPr>
          <w:rStyle w:val="TextBullet"/>
        </w:rPr>
        <w:t>•</w:t>
      </w:r>
      <w:r>
        <w:rPr>
          <w:rStyle w:val="TextBullet"/>
        </w:rPr>
        <w:tab/>
      </w:r>
      <w:r>
        <w:t>Of the 53 councils reported as having their heritage data on HERMES, 16 said they had updated it in the past five years, 11 said they had updated it more than five years ago and three said they were in the process of updating it. A total of 23 councils said they were unsure when their data was last updated.</w:t>
      </w:r>
    </w:p>
    <w:p w14:paraId="5089928E" w14:textId="77777777" w:rsidR="00BC5284" w:rsidRDefault="00BC5284">
      <w:pPr>
        <w:pStyle w:val="TextBulletsPara"/>
      </w:pPr>
      <w:r>
        <w:rPr>
          <w:rStyle w:val="TextBullet"/>
        </w:rPr>
        <w:t>•</w:t>
      </w:r>
      <w:r>
        <w:rPr>
          <w:rStyle w:val="TextBullet"/>
        </w:rPr>
        <w:tab/>
      </w:r>
      <w:r>
        <w:t xml:space="preserve">The most frequent reasons given by councils for not having their heritage data on HERMES was a lack of staffing (41%) and a lack of knowledge about how to do so (41%). Other reasons included concerns about privacy and this information already being </w:t>
      </w:r>
      <w:r>
        <w:lastRenderedPageBreak/>
        <w:t>available on the council website.</w:t>
      </w:r>
    </w:p>
    <w:p w14:paraId="48C844AD" w14:textId="77777777" w:rsidR="00BC5284" w:rsidRDefault="00BC5284">
      <w:pPr>
        <w:pStyle w:val="Text"/>
      </w:pPr>
      <w:r>
        <w:t>A lot of heritage information was stored in HERMES when there was support for it. The data reveals that not many councils have updated it recently. Workshop participants expressed that this was due to the poor usability of HERMES software and the need for greater clarification around when and how to use it. All of this highlights the issue with heritage data not being available, both in HERMES and to the public in the VHD, which is contrary to the original purpose of the system to provide a single, accessible point for heritage information.</w:t>
      </w:r>
    </w:p>
    <w:p w14:paraId="45FF7AB0" w14:textId="77777777" w:rsidR="00234914" w:rsidRDefault="00234914" w:rsidP="00234914">
      <w:pPr>
        <w:pStyle w:val="FigureTitleandnumbernounderline"/>
      </w:pPr>
      <w:r>
        <w:t>Figure 3.15 Local heritage data in HERMES</w:t>
      </w:r>
      <w:r w:rsidR="0059510D">
        <w:br/>
      </w:r>
      <w:r>
        <w:t>Figure 3.16 Communication and promotion mechanisms</w:t>
      </w:r>
    </w:p>
    <w:p w14:paraId="7512839B" w14:textId="77777777" w:rsidR="00BC5284" w:rsidRDefault="00BC5284">
      <w:pPr>
        <w:pStyle w:val="HeadingSubtitle2"/>
        <w:rPr>
          <w:color w:val="000000"/>
        </w:rPr>
      </w:pPr>
      <w:r>
        <w:rPr>
          <w:color w:val="000000"/>
        </w:rPr>
        <w:t>Communication and promotion mechanisms</w:t>
      </w:r>
    </w:p>
    <w:p w14:paraId="624FD10F" w14:textId="77777777" w:rsidR="00BC5284" w:rsidRDefault="00BC5284">
      <w:pPr>
        <w:pStyle w:val="Text"/>
      </w:pPr>
      <w:r>
        <w:t>Providing information on what is of local significance and why is this is the case is only part of the task. It is also important that the community understands the heritage system more generally (e.g. who is responsible for what, what does heritage listing mean) and the importance of conserving local heritage places. There are many mechanisms that can be used to do this, including:</w:t>
      </w:r>
    </w:p>
    <w:p w14:paraId="2B14211D" w14:textId="77777777" w:rsidR="00BC5284" w:rsidRDefault="00BC5284">
      <w:pPr>
        <w:pStyle w:val="TextBulletsPara"/>
      </w:pPr>
      <w:r>
        <w:rPr>
          <w:rStyle w:val="TextBullet"/>
        </w:rPr>
        <w:t>•</w:t>
      </w:r>
      <w:r>
        <w:rPr>
          <w:rStyle w:val="TextBullet"/>
        </w:rPr>
        <w:tab/>
      </w:r>
      <w:r>
        <w:t>mechanisms that explain the local heritage system and available council resources, such as websites</w:t>
      </w:r>
    </w:p>
    <w:p w14:paraId="3E472842" w14:textId="77777777" w:rsidR="00BC5284" w:rsidRDefault="00BC5284">
      <w:pPr>
        <w:pStyle w:val="TextBulletsPara"/>
      </w:pPr>
      <w:r>
        <w:rPr>
          <w:rStyle w:val="TextBullet"/>
        </w:rPr>
        <w:t>•</w:t>
      </w:r>
      <w:r>
        <w:rPr>
          <w:rStyle w:val="TextBullet"/>
        </w:rPr>
        <w:tab/>
      </w:r>
      <w:r>
        <w:t>mechanisms that promote places of heritage significance, such as brochures and tours</w:t>
      </w:r>
    </w:p>
    <w:p w14:paraId="4AE033D5" w14:textId="77777777" w:rsidR="00BC5284" w:rsidRDefault="00BC5284">
      <w:pPr>
        <w:pStyle w:val="TextBulletsPara"/>
      </w:pPr>
      <w:r>
        <w:rPr>
          <w:rStyle w:val="TextBullet"/>
        </w:rPr>
        <w:t>•</w:t>
      </w:r>
      <w:r>
        <w:rPr>
          <w:rStyle w:val="TextBullet"/>
        </w:rPr>
        <w:tab/>
      </w:r>
      <w:r>
        <w:t>programs to interpret places of heritage significance, such as plaques and signs</w:t>
      </w:r>
    </w:p>
    <w:p w14:paraId="163153A4" w14:textId="77777777" w:rsidR="00BC5284" w:rsidRDefault="00BC5284">
      <w:pPr>
        <w:pStyle w:val="TextBulletsPara"/>
      </w:pPr>
      <w:r>
        <w:rPr>
          <w:rStyle w:val="TextBullet"/>
        </w:rPr>
        <w:t>•</w:t>
      </w:r>
      <w:r>
        <w:rPr>
          <w:rStyle w:val="TextBullet"/>
        </w:rPr>
        <w:tab/>
      </w:r>
      <w:r>
        <w:t>events that promote the value and importance of local heritage, such as festivals and open houses</w:t>
      </w:r>
    </w:p>
    <w:p w14:paraId="7D626535" w14:textId="77777777" w:rsidR="00BC5284" w:rsidRDefault="00BC5284">
      <w:pPr>
        <w:pStyle w:val="TextBulletsPara"/>
      </w:pPr>
      <w:r>
        <w:rPr>
          <w:rStyle w:val="TextBullet"/>
        </w:rPr>
        <w:t>•</w:t>
      </w:r>
      <w:r>
        <w:rPr>
          <w:rStyle w:val="TextBullet"/>
        </w:rPr>
        <w:tab/>
      </w:r>
      <w:r>
        <w:t>events that recognise heritage conservation, such as awards.</w:t>
      </w:r>
    </w:p>
    <w:p w14:paraId="42D1B005" w14:textId="77777777" w:rsidR="00BC5284" w:rsidRDefault="00BC5284">
      <w:pPr>
        <w:pStyle w:val="Text"/>
      </w:pPr>
      <w:r>
        <w:t>These mechanisms can be used to help raise awareness and appreciation of local heritage throughout the LGA, which in turn can help to drive council action.</w:t>
      </w:r>
    </w:p>
    <w:p w14:paraId="015A7CC6" w14:textId="77777777" w:rsidR="00BC5284" w:rsidRDefault="00BC5284">
      <w:pPr>
        <w:pStyle w:val="Text"/>
      </w:pPr>
      <w:r>
        <w:t>The council survey asked councils to list any mechanism that they use to communicate or promote local heritage in their LGA. The data on the number of councils with mechanisms and the types of mechanisms is presented in Figure 3.16.</w:t>
      </w:r>
    </w:p>
    <w:p w14:paraId="077159F3" w14:textId="77777777" w:rsidR="00BC5284" w:rsidRDefault="00BC5284">
      <w:pPr>
        <w:pStyle w:val="HeadingSubtitle3"/>
        <w:rPr>
          <w:color w:val="000000"/>
        </w:rPr>
      </w:pPr>
      <w:r>
        <w:rPr>
          <w:color w:val="000000"/>
        </w:rPr>
        <w:t>Key findings</w:t>
      </w:r>
    </w:p>
    <w:p w14:paraId="22948497" w14:textId="77777777" w:rsidR="00BC5284" w:rsidRDefault="00BC5284">
      <w:pPr>
        <w:pStyle w:val="TextBulletsPara"/>
      </w:pPr>
      <w:r>
        <w:rPr>
          <w:rStyle w:val="TextBullet"/>
        </w:rPr>
        <w:t>•</w:t>
      </w:r>
      <w:r>
        <w:rPr>
          <w:rStyle w:val="TextBullet"/>
        </w:rPr>
        <w:tab/>
      </w:r>
      <w:r>
        <w:t xml:space="preserve">Slightly more than two-thirds of all councils (70%) have mechanisms to communicate and promote local heritage. All but one metropolitan council have at least one mechanism. The percentage of rural councils with mechanisms is unevenly distributed, with 69% of the Rural City councils, 55% of the Rural Large councils and just 38% of the Rural Small councils having at least one mechanism. </w:t>
      </w:r>
    </w:p>
    <w:p w14:paraId="36AF5482" w14:textId="77777777" w:rsidR="00BC5284" w:rsidRDefault="00BC5284">
      <w:pPr>
        <w:pStyle w:val="TextBulletsPara"/>
      </w:pPr>
      <w:r>
        <w:rPr>
          <w:rStyle w:val="TextBullet"/>
        </w:rPr>
        <w:t>•</w:t>
      </w:r>
      <w:r>
        <w:rPr>
          <w:rStyle w:val="TextBullet"/>
        </w:rPr>
        <w:tab/>
      </w:r>
      <w:r>
        <w:t>There is a correlation between those councils with high levels of heritage protection and those with mechanisms to communicate and promote heritage.</w:t>
      </w:r>
    </w:p>
    <w:p w14:paraId="7F49D188" w14:textId="77777777" w:rsidR="00BC5284" w:rsidRDefault="00BC5284">
      <w:pPr>
        <w:pStyle w:val="TextBulletsPara"/>
      </w:pPr>
      <w:r>
        <w:rPr>
          <w:rStyle w:val="TextBullet"/>
        </w:rPr>
        <w:t>•</w:t>
      </w:r>
      <w:r>
        <w:rPr>
          <w:rStyle w:val="TextBullet"/>
        </w:rPr>
        <w:tab/>
      </w:r>
      <w:r>
        <w:t xml:space="preserve">The most common mechanisms are a dedicated heritage webpage (82%), followed by brochures (51%) </w:t>
      </w:r>
    </w:p>
    <w:p w14:paraId="4DF84FE2" w14:textId="77777777" w:rsidR="00BC5284" w:rsidRDefault="00BC5284">
      <w:pPr>
        <w:pStyle w:val="TextBulletsPara"/>
      </w:pPr>
      <w:r>
        <w:rPr>
          <w:rStyle w:val="TextBullet"/>
        </w:rPr>
        <w:t>•</w:t>
      </w:r>
      <w:r>
        <w:rPr>
          <w:rStyle w:val="TextBullet"/>
        </w:rPr>
        <w:tab/>
      </w:r>
      <w:r>
        <w:t>and events (47%). The least common mechanisms are awards (13%), walking tours (5%), newsletters (5%), signs and plaques (5%) and lectures (2%).</w:t>
      </w:r>
    </w:p>
    <w:p w14:paraId="4A1D6625" w14:textId="77777777" w:rsidR="00BC5284" w:rsidRDefault="00BC5284">
      <w:pPr>
        <w:pStyle w:val="Text"/>
      </w:pPr>
      <w:r>
        <w:t>The data reveals an unexpectedly low level of communication and promotion of local heritage. While the majority of councils have some mechanism in place, the number of individual mechanisms used per council is quite low. Only slightly more than half of all councils have a webpage dedicated to heritage and only slightly more than one third of councils offer a brochure. There is clear opportunity here for better communication. A bright spot is the number of councils that promote local heritage through events and awards. It was suggested in the workshops that councils partner with other organisations, such as the National Trust and Open House Melbourne, to deliver heritage events. This is vital to improving appreciation of local heritage and needs to be fostered.</w:t>
      </w:r>
    </w:p>
    <w:p w14:paraId="64E4797F" w14:textId="77777777" w:rsidR="00470DA0" w:rsidRDefault="00470DA0">
      <w:pPr>
        <w:pStyle w:val="Text"/>
      </w:pPr>
    </w:p>
    <w:p w14:paraId="2C15F818" w14:textId="77777777" w:rsidR="00470DA0" w:rsidRPr="00924E22" w:rsidRDefault="00924E22" w:rsidP="00924E22">
      <w:pPr>
        <w:pStyle w:val="CaseStudyHeading1"/>
        <w:rPr>
          <w:color w:val="000000"/>
          <w:spacing w:val="0"/>
          <w:sz w:val="32"/>
        </w:rPr>
      </w:pPr>
      <w:r w:rsidRPr="00924E22">
        <w:rPr>
          <w:color w:val="000000"/>
          <w:spacing w:val="0"/>
          <w:sz w:val="32"/>
        </w:rPr>
        <w:t xml:space="preserve">Case Study: </w:t>
      </w:r>
      <w:r w:rsidR="00470DA0" w:rsidRPr="00924E22">
        <w:rPr>
          <w:color w:val="000000"/>
          <w:spacing w:val="0"/>
          <w:sz w:val="32"/>
        </w:rPr>
        <w:t>Rate-reduction program – Mornington Peninsula Shire Council</w:t>
      </w:r>
    </w:p>
    <w:p w14:paraId="61DB8D54" w14:textId="77777777" w:rsidR="00470DA0" w:rsidRDefault="00470DA0" w:rsidP="00470DA0">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470DA0" w:rsidRPr="00BC5284" w14:paraId="5C5E381B"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EC9BCD6" w14:textId="77777777" w:rsidR="00470DA0" w:rsidRPr="00BC5284" w:rsidRDefault="00470DA0" w:rsidP="005040CF">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Metro Outer</w:t>
            </w:r>
          </w:p>
        </w:tc>
      </w:tr>
      <w:tr w:rsidR="00470DA0" w:rsidRPr="00BC5284" w14:paraId="4FEF1719"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59B3FE6" w14:textId="77777777" w:rsidR="00470DA0" w:rsidRPr="00BC5284" w:rsidRDefault="00470DA0" w:rsidP="005040CF">
            <w:pPr>
              <w:pStyle w:val="TableText"/>
            </w:pPr>
            <w:r w:rsidRPr="00BC5284">
              <w:rPr>
                <w:rStyle w:val="TabletextBold"/>
                <w:rFonts w:cs="FreightSans Pro Bold"/>
                <w:bCs/>
              </w:rPr>
              <w:lastRenderedPageBreak/>
              <w:t xml:space="preserve">LGA size: </w:t>
            </w:r>
            <w:r w:rsidRPr="00BC5284">
              <w:rPr>
                <w:rStyle w:val="TabletextBold"/>
                <w:rFonts w:ascii="FreightSans Pro Medium" w:hAnsi="FreightSans Pro Medium"/>
                <w:b w:val="0"/>
              </w:rPr>
              <w:t>724km</w:t>
            </w:r>
            <w:r w:rsidRPr="00BC5284">
              <w:rPr>
                <w:rStyle w:val="TabletextBold"/>
                <w:rFonts w:ascii="FreightSans Pro Medium" w:hAnsi="FreightSans Pro Medium"/>
                <w:b w:val="0"/>
                <w:vertAlign w:val="superscript"/>
              </w:rPr>
              <w:t>2</w:t>
            </w:r>
          </w:p>
        </w:tc>
      </w:tr>
      <w:tr w:rsidR="00470DA0" w:rsidRPr="00BC5284" w14:paraId="552285ED"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255EAEF" w14:textId="77777777" w:rsidR="00470DA0" w:rsidRPr="00BC5284" w:rsidRDefault="00470DA0" w:rsidP="005040CF">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165,822</w:t>
            </w:r>
          </w:p>
        </w:tc>
      </w:tr>
      <w:tr w:rsidR="00470DA0" w:rsidRPr="00BC5284" w14:paraId="3829C6E1"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878AA4B" w14:textId="77777777" w:rsidR="00470DA0" w:rsidRPr="00BC5284" w:rsidRDefault="00470DA0" w:rsidP="005040CF">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433</w:t>
            </w:r>
          </w:p>
        </w:tc>
      </w:tr>
    </w:tbl>
    <w:p w14:paraId="35BF7217" w14:textId="77777777" w:rsidR="00470DA0" w:rsidRDefault="00470DA0" w:rsidP="00470DA0">
      <w:pPr>
        <w:pStyle w:val="BasicParagraph"/>
      </w:pPr>
    </w:p>
    <w:p w14:paraId="0C88B9B8" w14:textId="77777777" w:rsidR="00470DA0" w:rsidRPr="006D242E" w:rsidRDefault="00470DA0" w:rsidP="00470DA0">
      <w:pPr>
        <w:pStyle w:val="Text"/>
        <w:rPr>
          <w:rFonts w:ascii="FreightText Pro Bold" w:hAnsi="FreightText Pro Bold" w:cs="FreightText Pro Bold"/>
          <w:b/>
          <w:bCs/>
          <w:spacing w:val="-2"/>
        </w:rPr>
      </w:pPr>
      <w:r>
        <w:rPr>
          <w:rStyle w:val="TextBold"/>
          <w:rFonts w:cs="FreightText Pro Bold"/>
          <w:bCs/>
        </w:rPr>
        <w:t xml:space="preserve">The Shire of Mornington Peninsula is an outer-metropolitan ‘interface’ LGA located approximately 40km southeast of the Melbourne CBD. The Shire Council has measures in place to financially support owners of local heritage places. They offer heritage grants to assist owners to carry out heritage conservation projects. However, it is the Council’s other measure that is of </w:t>
      </w:r>
      <w:r>
        <w:rPr>
          <w:rStyle w:val="TextBold"/>
          <w:rFonts w:cs="FreightText Pro Bold"/>
          <w:bCs/>
          <w:spacing w:val="-2"/>
        </w:rPr>
        <w:t>particular note: an innovative rebate on rates paid by owners of heritage places.</w:t>
      </w:r>
    </w:p>
    <w:p w14:paraId="744987C1" w14:textId="77777777" w:rsidR="00470DA0" w:rsidRDefault="00470DA0" w:rsidP="00470DA0">
      <w:pPr>
        <w:pStyle w:val="HeadingSubtitle3-CaseStudy"/>
        <w:rPr>
          <w:color w:val="000000"/>
        </w:rPr>
      </w:pPr>
      <w:r>
        <w:rPr>
          <w:color w:val="000000"/>
        </w:rPr>
        <w:t>Issue</w:t>
      </w:r>
    </w:p>
    <w:p w14:paraId="43E9F4FE" w14:textId="77777777" w:rsidR="00470DA0" w:rsidRDefault="00470DA0" w:rsidP="00470DA0">
      <w:pPr>
        <w:pStyle w:val="Text-CaseStudy"/>
      </w:pPr>
      <w:r>
        <w:t>Several issues were present that necessitated the need for a rates rebate:</w:t>
      </w:r>
    </w:p>
    <w:p w14:paraId="0168941C" w14:textId="77777777" w:rsidR="00470DA0" w:rsidRDefault="00470DA0" w:rsidP="00470DA0">
      <w:pPr>
        <w:pStyle w:val="Text-CaseStudy"/>
      </w:pPr>
      <w:r>
        <w:t>•</w:t>
      </w:r>
      <w:r>
        <w:tab/>
        <w:t>there was not enough recognition of the public value of heritage places or promotion to owners about maintaining heritage places</w:t>
      </w:r>
    </w:p>
    <w:p w14:paraId="2406B5DD" w14:textId="77777777" w:rsidR="00470DA0" w:rsidRDefault="00470DA0" w:rsidP="00470DA0">
      <w:pPr>
        <w:pStyle w:val="Text-CaseStudy"/>
      </w:pPr>
      <w:r>
        <w:t>•</w:t>
      </w:r>
      <w:r>
        <w:tab/>
        <w:t>maintaining heritage places was an additional expense for owners</w:t>
      </w:r>
    </w:p>
    <w:p w14:paraId="307BA1E6" w14:textId="77777777" w:rsidR="00470DA0" w:rsidRDefault="00470DA0" w:rsidP="00470DA0">
      <w:pPr>
        <w:pStyle w:val="Text-CaseStudy"/>
        <w:ind w:left="280" w:hanging="280"/>
      </w:pPr>
      <w:r>
        <w:t>•</w:t>
      </w:r>
      <w:r>
        <w:tab/>
        <w:t>there were negative perceptions of the HO, with owners arguing that the application of the HO reduces the value of their site without any compensation.</w:t>
      </w:r>
    </w:p>
    <w:p w14:paraId="11FEC5E4" w14:textId="77777777" w:rsidR="00470DA0" w:rsidRDefault="00470DA0" w:rsidP="00470DA0">
      <w:pPr>
        <w:pStyle w:val="HeadingSubtitle3-CaseStudy"/>
        <w:rPr>
          <w:color w:val="000000"/>
        </w:rPr>
      </w:pPr>
      <w:r>
        <w:rPr>
          <w:color w:val="000000"/>
        </w:rPr>
        <w:t>Action</w:t>
      </w:r>
    </w:p>
    <w:p w14:paraId="75FA890A" w14:textId="77777777" w:rsidR="00470DA0" w:rsidRDefault="00470DA0" w:rsidP="00470DA0">
      <w:pPr>
        <w:pStyle w:val="Text-CaseStudy"/>
      </w:pPr>
      <w:r>
        <w:t>The Mornington Peninsula Shire Council established the Heritage Rebate in 2003 as a way to ‘recognise the cultural values of heritage properties on the Mornington Peninsula, and particularly the cost of preservation and maintenance of properties with heritage value’ and to encourage acceptance of the HO, particularly for new amendments.</w:t>
      </w:r>
    </w:p>
    <w:p w14:paraId="27683896" w14:textId="77777777" w:rsidR="00470DA0" w:rsidRDefault="00470DA0" w:rsidP="00470DA0">
      <w:pPr>
        <w:pStyle w:val="Text-CaseStudy"/>
      </w:pPr>
      <w:r>
        <w:t xml:space="preserve">Owners of individually significant places or contributory buildings within a precinct may apply to Council for a rebate of 25% or 12.5%, respectively, on the rates paid relating to the property improvements only (i.e. the difference between the Capital Improved Value and the Site Value). </w:t>
      </w:r>
    </w:p>
    <w:p w14:paraId="644F9C98" w14:textId="77777777" w:rsidR="00470DA0" w:rsidRDefault="00470DA0" w:rsidP="00470DA0">
      <w:pPr>
        <w:pStyle w:val="Text-CaseStudy"/>
      </w:pPr>
      <w:r>
        <w:t>To apply for the rebate, heritage homeowners must complete a form, either online or in hard-copy, that details the preservation, restoration or maintenance works they intend to undertake on the property. Homeowners only need to apply for the Heritage Rebate once and they will continue to receive it indefinitely.</w:t>
      </w:r>
    </w:p>
    <w:p w14:paraId="5D3765B5" w14:textId="77777777" w:rsidR="00470DA0" w:rsidRDefault="00470DA0" w:rsidP="00470DA0">
      <w:pPr>
        <w:pStyle w:val="HeadingSubtitle3-CaseStudy"/>
        <w:rPr>
          <w:color w:val="000000"/>
        </w:rPr>
      </w:pPr>
      <w:r>
        <w:rPr>
          <w:color w:val="000000"/>
        </w:rPr>
        <w:t>Outcome</w:t>
      </w:r>
    </w:p>
    <w:p w14:paraId="3145BF93" w14:textId="77777777" w:rsidR="00470DA0" w:rsidRDefault="00470DA0" w:rsidP="00470DA0">
      <w:pPr>
        <w:pStyle w:val="Text-CaseStudy"/>
      </w:pPr>
      <w:r>
        <w:t>The council officers responsible for the program reflected that the Heritage Rebate has led to heritage conservation works and improvements to perceptions of the Heritage Overlay. However, they also noted the shortcomings of the measure. One of the main issues is that participants continue to receive the rebate each year but there is no requirement that the money rebated be put back into conservation works. Also, not all eligible property owners have claimed the rebate.</w:t>
      </w:r>
    </w:p>
    <w:p w14:paraId="5BD336AE" w14:textId="77777777" w:rsidR="00470DA0" w:rsidRDefault="00470DA0" w:rsidP="00470DA0">
      <w:pPr>
        <w:pStyle w:val="Text-CaseStudy"/>
      </w:pPr>
      <w:r>
        <w:t xml:space="preserve">The Mornington Peninsula Shire Council is currently planning to undertake a review of the Heritage Rebate to address its limitations. </w:t>
      </w:r>
    </w:p>
    <w:p w14:paraId="50E5879A" w14:textId="77777777" w:rsidR="00470DA0" w:rsidRDefault="00470DA0" w:rsidP="00470DA0">
      <w:pPr>
        <w:pStyle w:val="HeadingSubtitle3-CaseStudy"/>
        <w:rPr>
          <w:color w:val="000000"/>
        </w:rPr>
      </w:pPr>
      <w:r>
        <w:rPr>
          <w:color w:val="000000"/>
        </w:rPr>
        <w:t>Lessons</w:t>
      </w:r>
    </w:p>
    <w:p w14:paraId="10900959" w14:textId="77777777" w:rsidR="00470DA0" w:rsidRDefault="00470DA0" w:rsidP="00470DA0">
      <w:pPr>
        <w:pStyle w:val="Text-CaseStudy"/>
      </w:pPr>
      <w:r>
        <w:t>Mornington Peninsula Shire Council has devised an innovative way to provide to financial support to owners of local heritage places, so as to demonstrate to the community the importance it places on local heritage and to encourage greater acceptance of the Heritage Overlay. Council officers are the first to admit that, like most innovations, the Heritage Rebate needs refinement. However, the case demonstrates that financial support does not have to be the standard system of heritage grants and loans; there is room for innovation in this space.</w:t>
      </w:r>
    </w:p>
    <w:p w14:paraId="00C34C1D" w14:textId="77777777" w:rsidR="00470DA0" w:rsidRPr="00924E22" w:rsidRDefault="00924E22" w:rsidP="00924E22">
      <w:pPr>
        <w:pStyle w:val="CaseStudyHeading1"/>
        <w:rPr>
          <w:color w:val="000000"/>
          <w:spacing w:val="0"/>
          <w:sz w:val="32"/>
        </w:rPr>
      </w:pPr>
      <w:r w:rsidRPr="00924E22">
        <w:rPr>
          <w:color w:val="000000"/>
          <w:spacing w:val="0"/>
          <w:sz w:val="32"/>
        </w:rPr>
        <w:t xml:space="preserve">Case Study: </w:t>
      </w:r>
      <w:r w:rsidR="00470DA0" w:rsidRPr="00924E22">
        <w:rPr>
          <w:color w:val="000000"/>
          <w:spacing w:val="0"/>
          <w:sz w:val="32"/>
        </w:rPr>
        <w:t>Communication and promotion – Whitehorse City Council</w:t>
      </w:r>
    </w:p>
    <w:p w14:paraId="5F4BB186" w14:textId="77777777" w:rsidR="0012618E" w:rsidRDefault="0012618E" w:rsidP="0012618E">
      <w:pPr>
        <w:pStyle w:val="CaseStudyHeading2"/>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470DA0" w:rsidRPr="00BC5284" w14:paraId="217141CF"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5E65C56" w14:textId="77777777" w:rsidR="00470DA0" w:rsidRPr="00BC5284" w:rsidRDefault="00470DA0" w:rsidP="005040CF">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Metro Middle</w:t>
            </w:r>
          </w:p>
        </w:tc>
      </w:tr>
      <w:tr w:rsidR="00470DA0" w:rsidRPr="00BC5284" w14:paraId="5974AF27"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0F671B4" w14:textId="77777777" w:rsidR="00470DA0" w:rsidRPr="00BC5284" w:rsidRDefault="00470DA0" w:rsidP="005040CF">
            <w:pPr>
              <w:pStyle w:val="TableText"/>
            </w:pPr>
            <w:r w:rsidRPr="00BC5284">
              <w:rPr>
                <w:rStyle w:val="TabletextBold"/>
                <w:rFonts w:cs="FreightSans Pro Bold"/>
                <w:bCs/>
              </w:rPr>
              <w:lastRenderedPageBreak/>
              <w:t xml:space="preserve">LGA size: </w:t>
            </w:r>
            <w:r w:rsidRPr="00BC5284">
              <w:rPr>
                <w:rStyle w:val="TabletextBold"/>
                <w:rFonts w:ascii="FreightSans Pro Medium" w:hAnsi="FreightSans Pro Medium"/>
                <w:b w:val="0"/>
              </w:rPr>
              <w:t>64km</w:t>
            </w:r>
            <w:r w:rsidRPr="00BC5284">
              <w:rPr>
                <w:rStyle w:val="TabletextBold"/>
                <w:rFonts w:ascii="FreightSans Pro Medium" w:hAnsi="FreightSans Pro Medium"/>
                <w:b w:val="0"/>
                <w:vertAlign w:val="superscript"/>
              </w:rPr>
              <w:t>2</w:t>
            </w:r>
          </w:p>
        </w:tc>
      </w:tr>
      <w:tr w:rsidR="00470DA0" w:rsidRPr="00BC5284" w14:paraId="29003BD1"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C703DD0" w14:textId="77777777" w:rsidR="00470DA0" w:rsidRPr="00BC5284" w:rsidRDefault="00470DA0" w:rsidP="005040CF">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176,196</w:t>
            </w:r>
          </w:p>
        </w:tc>
      </w:tr>
      <w:tr w:rsidR="00470DA0" w:rsidRPr="00BC5284" w14:paraId="6655D0EA" w14:textId="77777777" w:rsidTr="005040CF">
        <w:trPr>
          <w:trHeight w:val="60"/>
        </w:trPr>
        <w:tc>
          <w:tcPr>
            <w:tcW w:w="289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9038018" w14:textId="77777777" w:rsidR="00470DA0" w:rsidRPr="00BC5284" w:rsidRDefault="00470DA0" w:rsidP="005040CF">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279</w:t>
            </w:r>
          </w:p>
        </w:tc>
      </w:tr>
    </w:tbl>
    <w:p w14:paraId="053C83B1" w14:textId="77777777" w:rsidR="00470DA0" w:rsidRDefault="00470DA0" w:rsidP="00470DA0">
      <w:pPr>
        <w:pStyle w:val="BasicParagraph"/>
      </w:pPr>
    </w:p>
    <w:p w14:paraId="7D94D93D" w14:textId="77777777" w:rsidR="00470DA0" w:rsidRDefault="00470DA0" w:rsidP="00470DA0">
      <w:pPr>
        <w:pStyle w:val="HeadingSubtitle2"/>
        <w:rPr>
          <w:rStyle w:val="TextBold"/>
          <w:rFonts w:cs="FreightText Pro Bold"/>
          <w:b/>
          <w:szCs w:val="20"/>
        </w:rPr>
      </w:pPr>
      <w:r>
        <w:rPr>
          <w:rStyle w:val="TextBold"/>
          <w:rFonts w:cs="FreightText Pro Bold"/>
          <w:b/>
          <w:szCs w:val="20"/>
        </w:rPr>
        <w:t>Whitehorse City Council is a middle-ring LGA located approximately 15km east of the Melbourne CBD. The City prides itself on its arts, having been the home to the Box Hill Artists’ Camp in the 1880s. It also prides itself on its heritage, with over 790 places protected through its Heritage Overlays.</w:t>
      </w:r>
    </w:p>
    <w:p w14:paraId="525F055A" w14:textId="77777777" w:rsidR="00470DA0" w:rsidRDefault="00470DA0" w:rsidP="00470DA0">
      <w:pPr>
        <w:pStyle w:val="HeadingSubtitle3-CaseStudy"/>
        <w:rPr>
          <w:color w:val="000000"/>
        </w:rPr>
      </w:pPr>
      <w:r>
        <w:rPr>
          <w:color w:val="000000"/>
        </w:rPr>
        <w:t>Issue</w:t>
      </w:r>
    </w:p>
    <w:p w14:paraId="225D21D8" w14:textId="77777777" w:rsidR="00470DA0" w:rsidRDefault="00470DA0" w:rsidP="00470DA0">
      <w:pPr>
        <w:pStyle w:val="Text-CaseStudy"/>
      </w:pPr>
      <w:r>
        <w:rPr>
          <w:spacing w:val="-2"/>
        </w:rPr>
        <w:t>There was a need for Whitehorse City Council to communicate</w:t>
      </w:r>
      <w:r>
        <w:t xml:space="preserve"> </w:t>
      </w:r>
      <w:r>
        <w:rPr>
          <w:spacing w:val="-2"/>
        </w:rPr>
        <w:t>its efforts to manage and support local heritage, and promote</w:t>
      </w:r>
      <w:r>
        <w:t xml:space="preserve"> the importance of local heritage throughout the community.</w:t>
      </w:r>
    </w:p>
    <w:p w14:paraId="69E80E45" w14:textId="77777777" w:rsidR="00470DA0" w:rsidRDefault="00470DA0" w:rsidP="00470DA0">
      <w:pPr>
        <w:pStyle w:val="HeadingSubtitle3-CaseStudy"/>
        <w:rPr>
          <w:color w:val="000000"/>
        </w:rPr>
      </w:pPr>
      <w:r>
        <w:rPr>
          <w:color w:val="000000"/>
        </w:rPr>
        <w:t>Action</w:t>
      </w:r>
    </w:p>
    <w:p w14:paraId="06784CC1" w14:textId="77777777" w:rsidR="00470DA0" w:rsidRDefault="00470DA0" w:rsidP="00470DA0">
      <w:pPr>
        <w:pStyle w:val="Text-CaseStudy"/>
      </w:pPr>
      <w:r>
        <w:t>Whitehorse implemented a number of communication and promotion mechanisms.</w:t>
      </w:r>
    </w:p>
    <w:p w14:paraId="502539DD" w14:textId="77777777" w:rsidR="00470DA0" w:rsidRDefault="00470DA0" w:rsidP="00470DA0">
      <w:pPr>
        <w:pStyle w:val="HeadingSubtitle4"/>
        <w:rPr>
          <w:color w:val="000000"/>
        </w:rPr>
      </w:pPr>
      <w:r>
        <w:rPr>
          <w:color w:val="000000"/>
        </w:rPr>
        <w:t>Communication</w:t>
      </w:r>
    </w:p>
    <w:p w14:paraId="3F29C481" w14:textId="77777777" w:rsidR="00470DA0" w:rsidRDefault="00470DA0" w:rsidP="00470DA0">
      <w:pPr>
        <w:pStyle w:val="Text-CaseStudy"/>
      </w:pPr>
      <w:r>
        <w:rPr>
          <w:spacing w:val="-3"/>
        </w:rPr>
        <w:t>Whitehorse City Council uses both online and physical channels</w:t>
      </w:r>
      <w:r>
        <w:t xml:space="preserve"> to connect its community with its heritage information. This online approach begins with its website, where a dedicated heritage section not only succinctly explains how the heritage system works, including guidelines for individually listed buildings and precincts across the City, but also provides information on heritage events and the Council’s Heritage Assistance Fund. The Council also invested in the development of an online mapping program, Whitehorse Maps, that allows users to, among other functions, discover if their home is covered by a Heritage Overlay. If it is, users are linked to a copy of the HO and its schedule in the Whitehorse planning scheme, as well as an individual copy of the HO citation. Whitehorse City Council also uses its Facebook page to communicate local heritage events and information.</w:t>
      </w:r>
    </w:p>
    <w:p w14:paraId="40644DF3" w14:textId="77777777" w:rsidR="00470DA0" w:rsidRDefault="00470DA0" w:rsidP="00470DA0">
      <w:pPr>
        <w:pStyle w:val="Text-CaseStudy"/>
      </w:pPr>
      <w:r>
        <w:t xml:space="preserve">The physical approach primarily involves the use of its Heritage Advisor. The Council’s qualified and experienced Heritage Advisor communicates to residents of heritage places if – and how – a heritage place may be altered or developed. This reduces costs for the applicant and the Council by ensuring that plans are compliant on submission. </w:t>
      </w:r>
    </w:p>
    <w:p w14:paraId="630F28E2" w14:textId="77777777" w:rsidR="00234914" w:rsidRDefault="00234914" w:rsidP="00234914">
      <w:pPr>
        <w:pStyle w:val="Text-CaseStudy"/>
      </w:pPr>
      <w:r>
        <w:t xml:space="preserve">The Heritage Advisor also communicates the importance of conserving the municipality’s local heritage and the existence of the Heritage Assistance Fund to financially support conservation efforts. This approach is complemented by hard-copy brochures, which are available to the public in the </w:t>
      </w:r>
      <w:r>
        <w:rPr>
          <w:spacing w:val="-2"/>
        </w:rPr>
        <w:t>council offices and libraries. The materials include information</w:t>
      </w:r>
      <w:r>
        <w:t xml:space="preserve"> on heritage events, heritage trails and Whitehorse’s Heritage Assistance Fund. To ensure all owners are aware of the fund’s existence, each year the Council sends out a brochure to all owners and occupiers that reminds them about the fund’s existence, explains the funding amounts available for that financial year and invites them to apply.</w:t>
      </w:r>
    </w:p>
    <w:p w14:paraId="57A05C7D" w14:textId="77777777" w:rsidR="00234914" w:rsidRDefault="00234914" w:rsidP="00234914">
      <w:pPr>
        <w:pStyle w:val="HeadingSubtitle4"/>
        <w:rPr>
          <w:color w:val="000000"/>
        </w:rPr>
      </w:pPr>
      <w:r>
        <w:rPr>
          <w:color w:val="000000"/>
        </w:rPr>
        <w:t>Promotion</w:t>
      </w:r>
    </w:p>
    <w:p w14:paraId="3E0900F3" w14:textId="77777777" w:rsidR="00234914" w:rsidRDefault="00234914" w:rsidP="00234914">
      <w:pPr>
        <w:pStyle w:val="Text-CaseStudy"/>
      </w:pPr>
      <w:r>
        <w:t>For more than 25 years, Whitehorse City Council has held an annual Heritage Week, which involves a collection of heritage exhibits and events over a period of seven days. The 2019 Heritage Week was themed Healthy Heritage, which celebrated 100 years of progress in health programs and changes in traditional health care. Whitehorse formerly partnered with the National Trust to run its Heritage Week, but now runs it in partnership with a number of local volunteer organisations, including the Whitehorse, Box Hill and Surrey Hills Historical Societies. Heritage Week raises revenue for the participating historical societies and helps boost their profile in the community. The Council employs a dedicated officer to oversee the festival. More than 1,500 people attend the Heritage Week each year. In particular, the Family Open Day at Schwerkolt and Museum Complex attracts a large audience from both inside and outside the municipality, which is a boon to the local economy. The Council also runs heritage booths at other festivals. In terms of celebration, Whitehorse City Council hosts biennial Built Environment Awards to showcase the best in design and recognise the people who contribute to good design and sustainable practice within the LGA. There is an award category for heritage conservation.</w:t>
      </w:r>
    </w:p>
    <w:p w14:paraId="7A764670" w14:textId="77777777" w:rsidR="00234914" w:rsidRDefault="00234914" w:rsidP="00234914">
      <w:pPr>
        <w:pStyle w:val="HeadingSubtitle3-CaseStudy"/>
        <w:rPr>
          <w:color w:val="000000"/>
        </w:rPr>
      </w:pPr>
      <w:r>
        <w:rPr>
          <w:color w:val="000000"/>
        </w:rPr>
        <w:t>Outcome</w:t>
      </w:r>
    </w:p>
    <w:p w14:paraId="26792090" w14:textId="77777777" w:rsidR="00234914" w:rsidRDefault="00234914" w:rsidP="00234914">
      <w:pPr>
        <w:pStyle w:val="Text-CaseStudy"/>
      </w:pPr>
      <w:r>
        <w:t>The council officers responsible reflected that the communication efforts are working well to explain to community what heritage places exist in the LGA and what support is available to owners of those heritage places. They said that the promotion events are well attended and that, while it is difficult to quantify, they believe they are helping to instill the importance of and pride in local heritage amongst the community.</w:t>
      </w:r>
    </w:p>
    <w:p w14:paraId="0FE3011E" w14:textId="77777777" w:rsidR="00234914" w:rsidRDefault="00234914" w:rsidP="00234914">
      <w:pPr>
        <w:pStyle w:val="HeadingSubtitle3-CaseStudy"/>
        <w:rPr>
          <w:color w:val="000000"/>
        </w:rPr>
      </w:pPr>
      <w:r>
        <w:rPr>
          <w:color w:val="000000"/>
        </w:rPr>
        <w:lastRenderedPageBreak/>
        <w:t>Lessons</w:t>
      </w:r>
    </w:p>
    <w:p w14:paraId="12AE9658" w14:textId="77777777" w:rsidR="00234914" w:rsidRDefault="00234914" w:rsidP="00234914">
      <w:pPr>
        <w:pStyle w:val="Text-CaseStudy"/>
      </w:pPr>
      <w:r>
        <w:t>The Whitehorse City Council experience with communicating and promoting local heritage offers a number of lessons for other councils. While not every council can afford a dedicated officer to organise heritage week events and awards, every council has a website. Heritage can be effectively communicated and promoted through this mechanism. It also demonstrates that councils can look at alternative ways to communicate heritage information, for example using any communication with heritage property owners as an opportunity to inform and promote efforts to support and celebrate local heritage.</w:t>
      </w:r>
    </w:p>
    <w:p w14:paraId="4ECA7B85" w14:textId="77777777" w:rsidR="00BC5284" w:rsidRDefault="00BC5284">
      <w:pPr>
        <w:pStyle w:val="Headingsubtitle1"/>
        <w:rPr>
          <w:color w:val="000000"/>
        </w:rPr>
      </w:pPr>
      <w:r>
        <w:rPr>
          <w:color w:val="000000"/>
        </w:rPr>
        <w:t>3.7 Resourcing</w:t>
      </w:r>
    </w:p>
    <w:p w14:paraId="48F17715" w14:textId="77777777" w:rsidR="00BC5284" w:rsidRDefault="00BC5284">
      <w:pPr>
        <w:pStyle w:val="Text"/>
      </w:pPr>
      <w:r>
        <w:t>Currently, local councils are responsible for funding the identification, protection, support and promotion of their local heritage. The council survey asked councils to estimate their expenditure on heritage matters for the 2017–18, 2018–19 and 2019–20 financial years. While expenditure data on more financial years would have been preferable, it was thought that this information would have been difficult to obtain. As it stood, there were problems obtaining data for just three financial years – approximately one-quarter of respondents could not provide an estimate of expenditure for these years.</w:t>
      </w:r>
    </w:p>
    <w:p w14:paraId="72722B54" w14:textId="77777777" w:rsidR="00BC5284" w:rsidRDefault="00BC5284">
      <w:pPr>
        <w:pStyle w:val="Text"/>
      </w:pPr>
      <w:r>
        <w:t>In the data that was provided, there was also some discrepancy as to what different councils understood to constitute ‘heritage matters’. Respondents were asked to identify how they spent this money by selecting from the following list: heritage studies and implementation; Heritage Advisors; internal heritage staff; supporting measures; and promotion mechanisms. There was also a free-text option to add other forms of expenditure. In this, some councils listed expenditure relating to maintaining council-owned heritage assets, VCAT representation and arts and culture staff, while others explicitly stated they did not make such expenditure. As such, the data that was obtained is not entirely consistent. For most councils, the greatest significant heritage-related expense is heritage studies. Few councils undertake heritage studies on an annual basis. As such, annual heritage expenditure will fluctuate quite considerably depending on whether a heritage study has been undertaken in a particular year. With the current data, it is therefore difficult to determine meaningful longitudinal trends about heritage expenditure. Despite these limitations, it has been decided to still present the median annual expenditure as received (Figure 3.17) because it highlights the wide range in median expenditure between the council groups.</w:t>
      </w:r>
    </w:p>
    <w:p w14:paraId="20F53964" w14:textId="77777777" w:rsidR="00BC5284" w:rsidRDefault="00BC5284">
      <w:pPr>
        <w:pStyle w:val="HeadingSubtitle3"/>
        <w:rPr>
          <w:color w:val="000000"/>
        </w:rPr>
      </w:pPr>
      <w:r>
        <w:rPr>
          <w:color w:val="000000"/>
        </w:rPr>
        <w:t>Key findings</w:t>
      </w:r>
    </w:p>
    <w:p w14:paraId="7AA77F2D" w14:textId="77777777" w:rsidR="00BC5284" w:rsidRDefault="00BC5284">
      <w:pPr>
        <w:pStyle w:val="TextBulletsPara"/>
      </w:pPr>
      <w:r>
        <w:rPr>
          <w:rStyle w:val="TextBullet"/>
        </w:rPr>
        <w:t>•</w:t>
      </w:r>
      <w:r>
        <w:rPr>
          <w:rStyle w:val="TextBullet"/>
        </w:rPr>
        <w:tab/>
      </w:r>
      <w:r>
        <w:t>Expenditure on local heritage varied significantly between councils. One council spent over $1,000,000 each year, while six councils did not spend any money over the past three financial years.</w:t>
      </w:r>
    </w:p>
    <w:p w14:paraId="06C6D6FD" w14:textId="77777777" w:rsidR="00BC5284" w:rsidRDefault="00BC5284">
      <w:pPr>
        <w:pStyle w:val="TextBulletsPara"/>
      </w:pPr>
      <w:r>
        <w:rPr>
          <w:rStyle w:val="TextBullet"/>
        </w:rPr>
        <w:t>•</w:t>
      </w:r>
      <w:r>
        <w:rPr>
          <w:rStyle w:val="TextBullet"/>
        </w:rPr>
        <w:tab/>
      </w:r>
      <w:r>
        <w:t>The median annual expenditure was fairly consistent over the three financial years – $35,000 for the 2017–18 financial year, $35,000 for the 2018–19 financial year and $32,500 for the 2019–20 financial year.</w:t>
      </w:r>
    </w:p>
    <w:p w14:paraId="15326248" w14:textId="77777777" w:rsidR="00BC5284" w:rsidRDefault="00BC5284">
      <w:pPr>
        <w:pStyle w:val="TextBulletsPara"/>
      </w:pPr>
      <w:r>
        <w:rPr>
          <w:rStyle w:val="TextBullet"/>
        </w:rPr>
        <w:t>•</w:t>
      </w:r>
      <w:r>
        <w:rPr>
          <w:rStyle w:val="TextBullet"/>
        </w:rPr>
        <w:tab/>
      </w:r>
      <w:r>
        <w:t>The median annual expenditure varied significantly between council types. Metropolitan councils spent much more than rural councils. The median annual expenditure for the Metro Inner group was more than $200,000 per annum. The Metro Middle and Metro Outer councils spent between $90,000 and $160,000 per annum. Rural City and Rural Large councils spent between $15,000 and $40,000 per annum. The median expenditure for the Rural Small group was less than $1,000 per annum.</w:t>
      </w:r>
    </w:p>
    <w:p w14:paraId="48F12ABD" w14:textId="77777777" w:rsidR="00BC5284" w:rsidRDefault="00BC5284">
      <w:pPr>
        <w:pStyle w:val="Text"/>
        <w:rPr>
          <w:spacing w:val="-1"/>
        </w:rPr>
      </w:pPr>
      <w:r>
        <w:t xml:space="preserve">The council survey respondents identified expenses associated with identifying and protecting local heritage and a lack of funding as the main weakness of the current system. The above data, despite its limitations, helps to reveal the extent to which this is a problem and highlights the differences in the ability and willingness of councils to </w:t>
      </w:r>
      <w:r>
        <w:rPr>
          <w:spacing w:val="-2"/>
        </w:rPr>
        <w:t>fund local heritage. Since the cessation of State Government</w:t>
      </w:r>
      <w:r>
        <w:t xml:space="preserve"> funding in 2012, councils have had to use their own funds </w:t>
      </w:r>
      <w:r>
        <w:rPr>
          <w:spacing w:val="-2"/>
        </w:rPr>
        <w:t>to ensure that their local heritage is identified and protected.</w:t>
      </w:r>
      <w:r>
        <w:t xml:space="preserve"> The data shows that this removal of funding has </w:t>
      </w:r>
      <w:r>
        <w:rPr>
          <w:spacing w:val="-3"/>
        </w:rPr>
        <w:t>affected smaller, rural councils much more than metro councils.</w:t>
      </w:r>
      <w:r>
        <w:t xml:space="preserve"> This is particularly troubling considering that the </w:t>
      </w:r>
      <w:r>
        <w:rPr>
          <w:spacing w:val="-2"/>
        </w:rPr>
        <w:t>small number of councils that need to implement base-level</w:t>
      </w:r>
      <w:r>
        <w:t xml:space="preserve"> heritage studies, as highlighted in section 3.3, are from this </w:t>
      </w:r>
      <w:r>
        <w:rPr>
          <w:spacing w:val="-1"/>
        </w:rPr>
        <w:t>group. They stand little chance of doing so without funding.</w:t>
      </w:r>
    </w:p>
    <w:p w14:paraId="6701728B" w14:textId="77777777" w:rsidR="0059510D" w:rsidRPr="0059510D" w:rsidRDefault="0059510D" w:rsidP="0059510D">
      <w:pPr>
        <w:pStyle w:val="FigureTitleandnumbernounderline"/>
      </w:pPr>
      <w:r>
        <w:t>Figure 3.17 Median expenditure on local heritage</w:t>
      </w:r>
      <w:r>
        <w:tab/>
      </w:r>
    </w:p>
    <w:p w14:paraId="3D942F30" w14:textId="77777777" w:rsidR="00BC5284" w:rsidRDefault="00BC5284">
      <w:pPr>
        <w:pStyle w:val="Headingsubtitle1"/>
        <w:rPr>
          <w:color w:val="000000"/>
        </w:rPr>
      </w:pPr>
      <w:r>
        <w:rPr>
          <w:color w:val="000000"/>
        </w:rPr>
        <w:t>3.8 Council and community perceptions</w:t>
      </w:r>
    </w:p>
    <w:p w14:paraId="78E32577" w14:textId="77777777" w:rsidR="00BC5284" w:rsidRDefault="00BC5284">
      <w:pPr>
        <w:pStyle w:val="Text"/>
      </w:pPr>
      <w:r>
        <w:t xml:space="preserve">The council survey and community survey asked participants to undertake a SWOT analysis (identify the strengths, weaknesses, opportunities and threats) of the local heritage system. This was to obtain an understanding of the different perceptions about the local heritage system; in particular, what respondents think does or does not work, and where there may be a disconnect or lack of understanding about the local heritage system that could be easily remedied. The most common responses have been summarised </w:t>
      </w:r>
      <w:r>
        <w:lastRenderedPageBreak/>
        <w:t>and presented in Table 3.4.</w:t>
      </w:r>
    </w:p>
    <w:p w14:paraId="3D214F0D" w14:textId="77777777" w:rsidR="00BC5284" w:rsidRDefault="00BC5284">
      <w:pPr>
        <w:pStyle w:val="HeadingSubtitle3"/>
        <w:rPr>
          <w:color w:val="000000"/>
        </w:rPr>
      </w:pPr>
      <w:r>
        <w:rPr>
          <w:color w:val="000000"/>
        </w:rPr>
        <w:t>Key findings</w:t>
      </w:r>
    </w:p>
    <w:p w14:paraId="41E27346" w14:textId="77777777" w:rsidR="00BC5284" w:rsidRDefault="00BC5284">
      <w:pPr>
        <w:pStyle w:val="TextBulletsPara"/>
      </w:pPr>
      <w:r>
        <w:rPr>
          <w:rStyle w:val="TextBullet"/>
          <w:spacing w:val="-2"/>
        </w:rPr>
        <w:t>•</w:t>
      </w:r>
      <w:r>
        <w:rPr>
          <w:rStyle w:val="TextBullet"/>
          <w:spacing w:val="-2"/>
        </w:rPr>
        <w:tab/>
      </w:r>
      <w:r>
        <w:rPr>
          <w:spacing w:val="-2"/>
        </w:rPr>
        <w:t>There was common agreement that the main strength of</w:t>
      </w:r>
      <w:r>
        <w:t xml:space="preserve"> </w:t>
      </w:r>
      <w:r>
        <w:rPr>
          <w:spacing w:val="-3"/>
        </w:rPr>
        <w:t>the current local heritage system is the protection offered</w:t>
      </w:r>
      <w:r>
        <w:t xml:space="preserve"> through the Heritage Overlay (HO). The consensus was that the HO works well to protect locally significant </w:t>
      </w:r>
      <w:r>
        <w:rPr>
          <w:spacing w:val="-4"/>
        </w:rPr>
        <w:t>places and that the process to apply the HO is transparent.</w:t>
      </w:r>
      <w:r>
        <w:t xml:space="preserve"> </w:t>
      </w:r>
    </w:p>
    <w:p w14:paraId="276D1E32" w14:textId="77777777" w:rsidR="00BC5284" w:rsidRDefault="00BC5284">
      <w:pPr>
        <w:pStyle w:val="TextBulletsPara"/>
      </w:pPr>
      <w:r>
        <w:rPr>
          <w:rStyle w:val="TextBullet"/>
        </w:rPr>
        <w:t>•</w:t>
      </w:r>
      <w:r>
        <w:rPr>
          <w:rStyle w:val="TextBullet"/>
        </w:rPr>
        <w:tab/>
      </w:r>
      <w:r>
        <w:t>Respondents also identified the involvement of the local community through heritage advisory committees and submissions for planning scheme amendments, and public access to heritage advice through heritage advisory services as key strengths of the current system.</w:t>
      </w:r>
    </w:p>
    <w:p w14:paraId="202C2EDF" w14:textId="77777777" w:rsidR="00BC5284" w:rsidRDefault="00BC5284">
      <w:pPr>
        <w:pStyle w:val="TextBulletsPara"/>
      </w:pPr>
      <w:r>
        <w:rPr>
          <w:rStyle w:val="TextBullet"/>
        </w:rPr>
        <w:t>•</w:t>
      </w:r>
      <w:r>
        <w:rPr>
          <w:rStyle w:val="TextBullet"/>
        </w:rPr>
        <w:tab/>
      </w:r>
      <w:r>
        <w:t>Council survey respondents identified the expense associated with identifying and protecting local heritage and a lack of funding (both from the State Government and within council budgets) to be the main weakness of the system. Many councils have not been able to dedicate sufficient resources to undertaking and implementing heritage studies.</w:t>
      </w:r>
    </w:p>
    <w:p w14:paraId="5A0ED828" w14:textId="77777777" w:rsidR="00BC5284" w:rsidRDefault="00BC5284">
      <w:pPr>
        <w:pStyle w:val="TextBulletsPara"/>
      </w:pPr>
      <w:r>
        <w:rPr>
          <w:rStyle w:val="TextBullet"/>
        </w:rPr>
        <w:t>•</w:t>
      </w:r>
      <w:r>
        <w:rPr>
          <w:rStyle w:val="TextBullet"/>
        </w:rPr>
        <w:tab/>
      </w:r>
      <w:r>
        <w:t xml:space="preserve">Council respondents also identified the planning scheme amendment process, in particular the high level of information and justification needed to establish local significance and apply the HO, and community misunderstandings about the impacts of the HO (e.g. reduced property values, increased maintenance costs) and resultant public resistance as key weaknesses. </w:t>
      </w:r>
    </w:p>
    <w:p w14:paraId="06876AC0" w14:textId="77777777" w:rsidR="00BC5284" w:rsidRDefault="00BC5284">
      <w:pPr>
        <w:pStyle w:val="TextBulletsPara"/>
      </w:pPr>
      <w:r>
        <w:rPr>
          <w:rStyle w:val="TextBullet"/>
        </w:rPr>
        <w:t>•</w:t>
      </w:r>
      <w:r>
        <w:rPr>
          <w:rStyle w:val="TextBullet"/>
        </w:rPr>
        <w:tab/>
      </w:r>
      <w:r>
        <w:t xml:space="preserve">Community respondents identified the main weakness of the system to be councils not meeting their obligations under the </w:t>
      </w:r>
      <w:r>
        <w:rPr>
          <w:rStyle w:val="TextItalic"/>
          <w:iCs/>
        </w:rPr>
        <w:t>Planning and Environment Act 1987</w:t>
      </w:r>
      <w:r>
        <w:t xml:space="preserve"> to identify and protect local heritage, also the quality of work produced by heritage consultants (e.g. poorly researched and written heritage studies and citations). </w:t>
      </w:r>
    </w:p>
    <w:p w14:paraId="1416F0AA" w14:textId="77777777" w:rsidR="00BC5284" w:rsidRDefault="00BC5284">
      <w:pPr>
        <w:pStyle w:val="TextBulletsPara"/>
      </w:pPr>
    </w:p>
    <w:tbl>
      <w:tblPr>
        <w:tblW w:w="0" w:type="auto"/>
        <w:tblInd w:w="8" w:type="dxa"/>
        <w:tblLayout w:type="fixed"/>
        <w:tblCellMar>
          <w:left w:w="0" w:type="dxa"/>
          <w:right w:w="0" w:type="dxa"/>
        </w:tblCellMar>
        <w:tblLook w:val="0000" w:firstRow="0" w:lastRow="0" w:firstColumn="0" w:lastColumn="0" w:noHBand="0" w:noVBand="0"/>
      </w:tblPr>
      <w:tblGrid>
        <w:gridCol w:w="1336"/>
        <w:gridCol w:w="2948"/>
        <w:gridCol w:w="2991"/>
        <w:gridCol w:w="2930"/>
      </w:tblGrid>
      <w:tr w:rsidR="00BC5284" w:rsidRPr="00BC5284" w14:paraId="68D74CD4" w14:textId="77777777">
        <w:trPr>
          <w:trHeight w:val="60"/>
        </w:trPr>
        <w:tc>
          <w:tcPr>
            <w:tcW w:w="10205" w:type="dxa"/>
            <w:gridSpan w:val="4"/>
            <w:tcBorders>
              <w:top w:val="single" w:sz="6" w:space="0" w:color="000000"/>
              <w:left w:val="single" w:sz="6" w:space="0" w:color="000000"/>
              <w:bottom w:val="single" w:sz="6" w:space="0" w:color="000000"/>
              <w:right w:val="single" w:sz="6" w:space="0" w:color="000000"/>
            </w:tcBorders>
            <w:tcMar>
              <w:top w:w="80" w:type="dxa"/>
              <w:left w:w="0" w:type="dxa"/>
              <w:bottom w:w="113" w:type="dxa"/>
              <w:right w:w="80" w:type="dxa"/>
            </w:tcMar>
          </w:tcPr>
          <w:p w14:paraId="4F1B63FA" w14:textId="77777777" w:rsidR="00BC5284" w:rsidRPr="00BC5284" w:rsidRDefault="00234914">
            <w:pPr>
              <w:pStyle w:val="TableTitleandnumber"/>
            </w:pPr>
            <w:r>
              <w:t xml:space="preserve">  </w:t>
            </w:r>
            <w:r w:rsidR="00BC5284" w:rsidRPr="00BC5284">
              <w:t>Table 3.4 Strengths, weaknesses, opportunities and threats analysis</w:t>
            </w:r>
          </w:p>
        </w:tc>
      </w:tr>
      <w:tr w:rsidR="00241D54" w:rsidRPr="00BC5284" w14:paraId="40E4DB22" w14:textId="77777777" w:rsidTr="001546F9">
        <w:trPr>
          <w:trHeight w:val="60"/>
        </w:trPr>
        <w:tc>
          <w:tcPr>
            <w:tcW w:w="1336" w:type="dxa"/>
            <w:vMerge w:val="restart"/>
            <w:tcBorders>
              <w:top w:val="single" w:sz="6" w:space="0" w:color="000000"/>
              <w:left w:val="single" w:sz="6" w:space="0" w:color="000000"/>
              <w:right w:val="single" w:sz="2" w:space="0" w:color="000000"/>
            </w:tcBorders>
            <w:tcMar>
              <w:top w:w="113" w:type="dxa"/>
              <w:left w:w="80" w:type="dxa"/>
              <w:bottom w:w="113" w:type="dxa"/>
              <w:right w:w="80" w:type="dxa"/>
            </w:tcMar>
          </w:tcPr>
          <w:p w14:paraId="26AB4725" w14:textId="77777777" w:rsidR="00241D54" w:rsidRPr="00BC5284" w:rsidRDefault="00241D54">
            <w:pPr>
              <w:pStyle w:val="NoParagraphStyle"/>
              <w:spacing w:line="240" w:lineRule="auto"/>
              <w:textAlignment w:val="auto"/>
              <w:rPr>
                <w:rFonts w:cs="Times New Roman"/>
                <w:color w:val="auto"/>
              </w:rPr>
            </w:pPr>
          </w:p>
        </w:tc>
        <w:tc>
          <w:tcPr>
            <w:tcW w:w="2948" w:type="dxa"/>
            <w:vMerge w:val="restart"/>
            <w:tcBorders>
              <w:top w:val="single" w:sz="2" w:space="0" w:color="000000"/>
              <w:left w:val="single" w:sz="2" w:space="0" w:color="000000"/>
              <w:right w:val="single" w:sz="2" w:space="0" w:color="000000"/>
            </w:tcBorders>
            <w:shd w:val="clear" w:color="313E48" w:fill="auto"/>
            <w:tcMar>
              <w:top w:w="113" w:type="dxa"/>
              <w:left w:w="80" w:type="dxa"/>
              <w:bottom w:w="113" w:type="dxa"/>
              <w:right w:w="80" w:type="dxa"/>
            </w:tcMar>
          </w:tcPr>
          <w:p w14:paraId="13D52006" w14:textId="77777777" w:rsidR="00241D54" w:rsidRPr="00352FC0" w:rsidRDefault="00241D54">
            <w:pPr>
              <w:pStyle w:val="TableHeading1"/>
              <w:jc w:val="center"/>
              <w:rPr>
                <w:color w:val="000000"/>
              </w:rPr>
            </w:pPr>
            <w:r w:rsidRPr="00352FC0">
              <w:rPr>
                <w:color w:val="000000"/>
              </w:rPr>
              <w:t>Council survey</w:t>
            </w:r>
          </w:p>
        </w:tc>
        <w:tc>
          <w:tcPr>
            <w:tcW w:w="5921" w:type="dxa"/>
            <w:gridSpan w:val="2"/>
            <w:tcBorders>
              <w:top w:val="single" w:sz="2" w:space="0" w:color="000000"/>
              <w:left w:val="single" w:sz="2" w:space="0" w:color="000000"/>
              <w:bottom w:val="single" w:sz="2" w:space="0" w:color="000000"/>
              <w:right w:val="single" w:sz="2" w:space="0" w:color="000000"/>
            </w:tcBorders>
            <w:shd w:val="clear" w:color="313E48" w:fill="auto"/>
            <w:tcMar>
              <w:top w:w="113" w:type="dxa"/>
              <w:left w:w="80" w:type="dxa"/>
              <w:bottom w:w="113" w:type="dxa"/>
              <w:right w:w="80" w:type="dxa"/>
            </w:tcMar>
          </w:tcPr>
          <w:p w14:paraId="723A47E4" w14:textId="77777777" w:rsidR="00241D54" w:rsidRPr="00352FC0" w:rsidRDefault="00241D54">
            <w:pPr>
              <w:pStyle w:val="TableHeading1"/>
              <w:jc w:val="center"/>
              <w:rPr>
                <w:color w:val="000000"/>
              </w:rPr>
            </w:pPr>
            <w:r w:rsidRPr="00352FC0">
              <w:rPr>
                <w:color w:val="000000"/>
              </w:rPr>
              <w:t>Community survey</w:t>
            </w:r>
          </w:p>
        </w:tc>
      </w:tr>
      <w:tr w:rsidR="00241D54" w:rsidRPr="00BC5284" w14:paraId="5009C6FF" w14:textId="77777777" w:rsidTr="001546F9">
        <w:trPr>
          <w:trHeight w:val="60"/>
        </w:trPr>
        <w:tc>
          <w:tcPr>
            <w:tcW w:w="1336" w:type="dxa"/>
            <w:vMerge/>
            <w:tcBorders>
              <w:left w:val="single" w:sz="6" w:space="0" w:color="000000"/>
              <w:bottom w:val="single" w:sz="2" w:space="0" w:color="000000"/>
              <w:right w:val="single" w:sz="2" w:space="0" w:color="000000"/>
            </w:tcBorders>
            <w:tcMar>
              <w:top w:w="113" w:type="dxa"/>
              <w:left w:w="80" w:type="dxa"/>
              <w:bottom w:w="113" w:type="dxa"/>
              <w:right w:w="80" w:type="dxa"/>
            </w:tcMar>
          </w:tcPr>
          <w:p w14:paraId="26B77102" w14:textId="77777777" w:rsidR="00241D54" w:rsidRPr="00BC5284" w:rsidRDefault="00241D54">
            <w:pPr>
              <w:pStyle w:val="NoParagraphStyle"/>
              <w:spacing w:line="240" w:lineRule="auto"/>
              <w:textAlignment w:val="auto"/>
              <w:rPr>
                <w:rFonts w:cs="Times New Roman"/>
                <w:color w:val="auto"/>
              </w:rPr>
            </w:pPr>
          </w:p>
        </w:tc>
        <w:tc>
          <w:tcPr>
            <w:tcW w:w="2948" w:type="dxa"/>
            <w:vMerge/>
            <w:tcBorders>
              <w:left w:val="single" w:sz="2" w:space="0" w:color="000000"/>
              <w:bottom w:val="single" w:sz="2" w:space="0" w:color="000000"/>
              <w:right w:val="single" w:sz="2" w:space="0" w:color="000000"/>
            </w:tcBorders>
            <w:shd w:val="clear" w:color="313E48" w:fill="auto"/>
            <w:tcMar>
              <w:top w:w="113" w:type="dxa"/>
              <w:left w:w="80" w:type="dxa"/>
              <w:bottom w:w="113" w:type="dxa"/>
              <w:right w:w="80" w:type="dxa"/>
            </w:tcMar>
          </w:tcPr>
          <w:p w14:paraId="66772268" w14:textId="77777777" w:rsidR="00241D54" w:rsidRPr="00BC5284" w:rsidRDefault="00241D54">
            <w:pPr>
              <w:pStyle w:val="NoParagraphStyle"/>
              <w:spacing w:line="240" w:lineRule="auto"/>
              <w:textAlignment w:val="auto"/>
              <w:rPr>
                <w:rFonts w:cs="Times New Roman"/>
                <w:color w:val="auto"/>
              </w:rPr>
            </w:pPr>
          </w:p>
        </w:tc>
        <w:tc>
          <w:tcPr>
            <w:tcW w:w="2991" w:type="dxa"/>
            <w:tcBorders>
              <w:top w:val="single" w:sz="2" w:space="0" w:color="000000"/>
              <w:left w:val="single" w:sz="2" w:space="0" w:color="000000"/>
              <w:bottom w:val="single" w:sz="2" w:space="0" w:color="000000"/>
              <w:right w:val="single" w:sz="2" w:space="0" w:color="000000"/>
            </w:tcBorders>
            <w:shd w:val="clear" w:color="313E48" w:fill="auto"/>
            <w:tcMar>
              <w:top w:w="113" w:type="dxa"/>
              <w:left w:w="80" w:type="dxa"/>
              <w:bottom w:w="113" w:type="dxa"/>
              <w:right w:w="80" w:type="dxa"/>
            </w:tcMar>
          </w:tcPr>
          <w:p w14:paraId="036FD0F8" w14:textId="77777777" w:rsidR="00241D54" w:rsidRPr="00241D54" w:rsidRDefault="00241D54">
            <w:pPr>
              <w:pStyle w:val="TableText"/>
              <w:jc w:val="center"/>
            </w:pPr>
            <w:r w:rsidRPr="00241D54">
              <w:rPr>
                <w:rStyle w:val="TabletextBold"/>
                <w:rFonts w:cs="FreightSans Pro Bold"/>
                <w:bCs/>
              </w:rPr>
              <w:t>ICOMOS responses</w:t>
            </w:r>
          </w:p>
        </w:tc>
        <w:tc>
          <w:tcPr>
            <w:tcW w:w="2930" w:type="dxa"/>
            <w:tcBorders>
              <w:top w:val="single" w:sz="2" w:space="0" w:color="000000"/>
              <w:left w:val="single" w:sz="2" w:space="0" w:color="000000"/>
              <w:bottom w:val="single" w:sz="2" w:space="0" w:color="000000"/>
              <w:right w:val="single" w:sz="2" w:space="0" w:color="000000"/>
            </w:tcBorders>
            <w:shd w:val="clear" w:color="313E48" w:fill="auto"/>
            <w:tcMar>
              <w:top w:w="113" w:type="dxa"/>
              <w:left w:w="80" w:type="dxa"/>
              <w:bottom w:w="113" w:type="dxa"/>
              <w:right w:w="80" w:type="dxa"/>
            </w:tcMar>
          </w:tcPr>
          <w:p w14:paraId="73B05DC2" w14:textId="77777777" w:rsidR="00241D54" w:rsidRPr="00241D54" w:rsidRDefault="00241D54">
            <w:pPr>
              <w:pStyle w:val="TableText"/>
              <w:jc w:val="center"/>
            </w:pPr>
            <w:r w:rsidRPr="00241D54">
              <w:rPr>
                <w:rStyle w:val="TabletextBold"/>
                <w:rFonts w:cs="FreightSans Pro Bold"/>
                <w:bCs/>
              </w:rPr>
              <w:t xml:space="preserve">Local historic &amp; heritage </w:t>
            </w:r>
            <w:r w:rsidRPr="00241D54">
              <w:rPr>
                <w:rStyle w:val="TabletextBold"/>
                <w:rFonts w:cs="FreightSans Pro Bold"/>
                <w:bCs/>
              </w:rPr>
              <w:br/>
              <w:t>society responses</w:t>
            </w:r>
          </w:p>
        </w:tc>
      </w:tr>
      <w:tr w:rsidR="00BC5284" w:rsidRPr="00BC5284" w14:paraId="3E0465FC" w14:textId="77777777" w:rsidTr="00241D54">
        <w:trPr>
          <w:trHeight w:val="60"/>
        </w:trPr>
        <w:tc>
          <w:tcPr>
            <w:tcW w:w="1336" w:type="dxa"/>
            <w:tcBorders>
              <w:top w:val="single" w:sz="2" w:space="0" w:color="000000"/>
              <w:left w:val="single" w:sz="6" w:space="0" w:color="000000"/>
              <w:bottom w:val="single" w:sz="16" w:space="0" w:color="B9B9BA"/>
              <w:right w:val="single" w:sz="6" w:space="0" w:color="000000"/>
            </w:tcBorders>
            <w:tcMar>
              <w:top w:w="170" w:type="dxa"/>
              <w:left w:w="0" w:type="dxa"/>
              <w:bottom w:w="170" w:type="dxa"/>
              <w:right w:w="80" w:type="dxa"/>
            </w:tcMar>
          </w:tcPr>
          <w:p w14:paraId="222417A7" w14:textId="77777777" w:rsidR="00BC5284" w:rsidRPr="00BC5284" w:rsidRDefault="00234914">
            <w:pPr>
              <w:pStyle w:val="TableText"/>
            </w:pPr>
            <w:r>
              <w:rPr>
                <w:rStyle w:val="TabletextBold"/>
                <w:rFonts w:cs="FreightSans Pro Bold"/>
                <w:bCs/>
              </w:rPr>
              <w:t xml:space="preserve">  </w:t>
            </w:r>
            <w:r w:rsidR="00BC5284" w:rsidRPr="00BC5284">
              <w:rPr>
                <w:rStyle w:val="TabletextBold"/>
                <w:rFonts w:cs="FreightSans Pro Bold"/>
                <w:bCs/>
              </w:rPr>
              <w:t>Strengths</w:t>
            </w:r>
          </w:p>
        </w:tc>
        <w:tc>
          <w:tcPr>
            <w:tcW w:w="2948" w:type="dxa"/>
            <w:tcBorders>
              <w:top w:val="single" w:sz="2" w:space="0" w:color="000000"/>
              <w:left w:val="single" w:sz="6" w:space="0" w:color="000000"/>
              <w:bottom w:val="single" w:sz="2" w:space="0" w:color="000000"/>
              <w:right w:val="single" w:sz="6" w:space="0" w:color="000000"/>
            </w:tcBorders>
            <w:tcMar>
              <w:top w:w="170" w:type="dxa"/>
              <w:left w:w="113" w:type="dxa"/>
              <w:bottom w:w="170" w:type="dxa"/>
              <w:right w:w="80" w:type="dxa"/>
            </w:tcMar>
          </w:tcPr>
          <w:p w14:paraId="5DAC348A" w14:textId="77777777" w:rsidR="00BC5284" w:rsidRPr="00BC5284" w:rsidRDefault="00BC5284">
            <w:pPr>
              <w:pStyle w:val="TableText"/>
            </w:pPr>
            <w:r w:rsidRPr="00BC5284">
              <w:rPr>
                <w:color w:val="AA1E2D"/>
              </w:rPr>
              <w:t>•</w:t>
            </w:r>
            <w:r w:rsidRPr="00BC5284">
              <w:t xml:space="preserve">   Protection offered through the</w:t>
            </w:r>
            <w:r w:rsidR="00C70825">
              <w:br/>
              <w:t xml:space="preserve">  </w:t>
            </w:r>
            <w:r w:rsidRPr="00BC5284">
              <w:t xml:space="preserve"> </w:t>
            </w:r>
            <w:r w:rsidR="00C70825">
              <w:t xml:space="preserve">  </w:t>
            </w:r>
            <w:r w:rsidRPr="00BC5284">
              <w:t>Heritage Overlay</w:t>
            </w:r>
          </w:p>
          <w:p w14:paraId="326867ED" w14:textId="77777777" w:rsidR="00BC5284" w:rsidRPr="00BC5284" w:rsidRDefault="00BC5284">
            <w:pPr>
              <w:pStyle w:val="TableText"/>
            </w:pPr>
            <w:r w:rsidRPr="00BC5284">
              <w:rPr>
                <w:color w:val="AA1E2D"/>
              </w:rPr>
              <w:t>•</w:t>
            </w:r>
            <w:r w:rsidRPr="00BC5284">
              <w:t xml:space="preserve">   The overall local heritage system</w:t>
            </w:r>
          </w:p>
          <w:p w14:paraId="6A67C81C" w14:textId="77777777" w:rsidR="00BC5284" w:rsidRPr="00BC5284" w:rsidRDefault="00BC5284">
            <w:pPr>
              <w:pStyle w:val="TableText"/>
            </w:pPr>
            <w:r w:rsidRPr="00BC5284">
              <w:rPr>
                <w:color w:val="AA1E2D"/>
              </w:rPr>
              <w:t>•</w:t>
            </w:r>
            <w:r w:rsidRPr="00BC5284">
              <w:t xml:space="preserve">   Involvement of the local community</w:t>
            </w:r>
          </w:p>
        </w:tc>
        <w:tc>
          <w:tcPr>
            <w:tcW w:w="2991" w:type="dxa"/>
            <w:tcBorders>
              <w:top w:val="single" w:sz="2" w:space="0" w:color="000000"/>
              <w:left w:val="single" w:sz="6" w:space="0" w:color="000000"/>
              <w:bottom w:val="single" w:sz="2" w:space="0" w:color="000000"/>
              <w:right w:val="single" w:sz="6" w:space="0" w:color="000000"/>
            </w:tcBorders>
            <w:tcMar>
              <w:top w:w="170" w:type="dxa"/>
              <w:left w:w="113" w:type="dxa"/>
              <w:bottom w:w="170" w:type="dxa"/>
              <w:right w:w="80" w:type="dxa"/>
            </w:tcMar>
          </w:tcPr>
          <w:p w14:paraId="2A74D249" w14:textId="77777777" w:rsidR="00BC5284" w:rsidRPr="00BC5284" w:rsidRDefault="00BC5284">
            <w:pPr>
              <w:pStyle w:val="TableText"/>
            </w:pPr>
            <w:r w:rsidRPr="00BC5284">
              <w:rPr>
                <w:color w:val="AA1E2D"/>
              </w:rPr>
              <w:t>•</w:t>
            </w:r>
            <w:r w:rsidRPr="00BC5284">
              <w:t xml:space="preserve">   The work of Heritage Advisors and</w:t>
            </w:r>
            <w:r w:rsidR="00C70825">
              <w:br/>
              <w:t xml:space="preserve">     </w:t>
            </w:r>
            <w:r w:rsidRPr="00BC5284">
              <w:t>Planners</w:t>
            </w:r>
          </w:p>
          <w:p w14:paraId="5EB3F483" w14:textId="77777777" w:rsidR="00BC5284" w:rsidRPr="00BC5284" w:rsidRDefault="00BC5284">
            <w:pPr>
              <w:pStyle w:val="TableText"/>
            </w:pPr>
            <w:r w:rsidRPr="00BC5284">
              <w:rPr>
                <w:color w:val="AA1E2D"/>
              </w:rPr>
              <w:t>•</w:t>
            </w:r>
            <w:r w:rsidRPr="00BC5284">
              <w:t xml:space="preserve">   Protection offered through the</w:t>
            </w:r>
            <w:r w:rsidR="00C70825">
              <w:br/>
              <w:t xml:space="preserve">     </w:t>
            </w:r>
            <w:r w:rsidRPr="00BC5284">
              <w:t>Heritage Overlay</w:t>
            </w:r>
          </w:p>
        </w:tc>
        <w:tc>
          <w:tcPr>
            <w:tcW w:w="2930" w:type="dxa"/>
            <w:tcBorders>
              <w:top w:val="single" w:sz="2" w:space="0" w:color="000000"/>
              <w:left w:val="single" w:sz="6" w:space="0" w:color="000000"/>
              <w:bottom w:val="single" w:sz="2" w:space="0" w:color="000000"/>
              <w:right w:val="single" w:sz="6" w:space="0" w:color="000000"/>
            </w:tcBorders>
            <w:tcMar>
              <w:top w:w="170" w:type="dxa"/>
              <w:left w:w="113" w:type="dxa"/>
              <w:bottom w:w="170" w:type="dxa"/>
              <w:right w:w="80" w:type="dxa"/>
            </w:tcMar>
          </w:tcPr>
          <w:p w14:paraId="38B8360F" w14:textId="77777777" w:rsidR="00BC5284" w:rsidRPr="00BC5284" w:rsidRDefault="00BC5284">
            <w:pPr>
              <w:pStyle w:val="TableText"/>
            </w:pPr>
            <w:r w:rsidRPr="00BC5284">
              <w:rPr>
                <w:color w:val="AA1E2D"/>
              </w:rPr>
              <w:t>•</w:t>
            </w:r>
            <w:r w:rsidRPr="00BC5284">
              <w:t xml:space="preserve">   Involvement of the local community</w:t>
            </w:r>
          </w:p>
          <w:p w14:paraId="0DFEA994" w14:textId="77777777" w:rsidR="00BC5284" w:rsidRPr="00BC5284" w:rsidRDefault="00BC5284">
            <w:pPr>
              <w:pStyle w:val="TableText"/>
            </w:pPr>
            <w:r w:rsidRPr="00BC5284">
              <w:rPr>
                <w:color w:val="AA1E2D"/>
              </w:rPr>
              <w:t>•</w:t>
            </w:r>
            <w:r w:rsidRPr="00BC5284">
              <w:t xml:space="preserve">   The extensive work of particular</w:t>
            </w:r>
            <w:r w:rsidR="00C70825">
              <w:br/>
              <w:t xml:space="preserve">     </w:t>
            </w:r>
            <w:r w:rsidRPr="00BC5284">
              <w:t>local councils</w:t>
            </w:r>
          </w:p>
          <w:p w14:paraId="7DBC5B38" w14:textId="77777777" w:rsidR="00BC5284" w:rsidRPr="00BC5284" w:rsidRDefault="00BC5284">
            <w:pPr>
              <w:pStyle w:val="TableText"/>
            </w:pPr>
            <w:r w:rsidRPr="00BC5284">
              <w:rPr>
                <w:color w:val="AA1E2D"/>
              </w:rPr>
              <w:t>•</w:t>
            </w:r>
            <w:r w:rsidRPr="00BC5284">
              <w:t xml:space="preserve">   Protection offered through the</w:t>
            </w:r>
            <w:r w:rsidR="00C70825">
              <w:br/>
              <w:t xml:space="preserve">     </w:t>
            </w:r>
            <w:r w:rsidRPr="00BC5284">
              <w:t>Heritage Overlay</w:t>
            </w:r>
          </w:p>
        </w:tc>
      </w:tr>
      <w:tr w:rsidR="00BC5284" w:rsidRPr="00BC5284" w14:paraId="117DB07C" w14:textId="77777777">
        <w:trPr>
          <w:trHeight w:val="60"/>
        </w:trPr>
        <w:tc>
          <w:tcPr>
            <w:tcW w:w="1336" w:type="dxa"/>
            <w:tcBorders>
              <w:top w:val="single" w:sz="16" w:space="0" w:color="B9B9BA"/>
              <w:left w:val="single" w:sz="6" w:space="0" w:color="000000"/>
              <w:bottom w:val="single" w:sz="16" w:space="0" w:color="B9B9BA"/>
              <w:right w:val="single" w:sz="6" w:space="0" w:color="000000"/>
            </w:tcBorders>
            <w:tcMar>
              <w:top w:w="170" w:type="dxa"/>
              <w:left w:w="0" w:type="dxa"/>
              <w:bottom w:w="170" w:type="dxa"/>
              <w:right w:w="80" w:type="dxa"/>
            </w:tcMar>
          </w:tcPr>
          <w:p w14:paraId="49C94B17" w14:textId="77777777" w:rsidR="00BC5284" w:rsidRPr="00BC5284" w:rsidRDefault="00234914">
            <w:pPr>
              <w:pStyle w:val="TableText"/>
            </w:pPr>
            <w:r>
              <w:rPr>
                <w:rStyle w:val="TabletextBold"/>
                <w:rFonts w:cs="FreightSans Pro Bold"/>
                <w:bCs/>
              </w:rPr>
              <w:t xml:space="preserve">  </w:t>
            </w:r>
            <w:r w:rsidR="00BC5284" w:rsidRPr="00BC5284">
              <w:rPr>
                <w:rStyle w:val="TabletextBold"/>
                <w:rFonts w:cs="FreightSans Pro Bold"/>
                <w:bCs/>
              </w:rPr>
              <w:t>Weaknesses</w:t>
            </w:r>
          </w:p>
        </w:tc>
        <w:tc>
          <w:tcPr>
            <w:tcW w:w="2948"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4A528354" w14:textId="77777777" w:rsidR="00BC5284" w:rsidRPr="00BC5284" w:rsidRDefault="00BC5284">
            <w:pPr>
              <w:pStyle w:val="TableText"/>
            </w:pPr>
            <w:r w:rsidRPr="00BC5284">
              <w:rPr>
                <w:color w:val="AA1E2D"/>
              </w:rPr>
              <w:t>•</w:t>
            </w:r>
            <w:r w:rsidRPr="00BC5284">
              <w:t xml:space="preserve">   Expenses, lack of funding</w:t>
            </w:r>
          </w:p>
          <w:p w14:paraId="5A84FC6A" w14:textId="77777777" w:rsidR="00BC5284" w:rsidRPr="00BC5284" w:rsidRDefault="00BC5284">
            <w:pPr>
              <w:pStyle w:val="TableText"/>
            </w:pPr>
            <w:r w:rsidRPr="00BC5284">
              <w:rPr>
                <w:color w:val="AA1E2D"/>
              </w:rPr>
              <w:t>•</w:t>
            </w:r>
            <w:r w:rsidRPr="00BC5284">
              <w:t xml:space="preserve">   The planning scheme amendment</w:t>
            </w:r>
            <w:r w:rsidR="00C70825">
              <w:br/>
              <w:t xml:space="preserve">     </w:t>
            </w:r>
            <w:r w:rsidRPr="00BC5284">
              <w:t>process</w:t>
            </w:r>
          </w:p>
          <w:p w14:paraId="3AD4529D" w14:textId="77777777" w:rsidR="00BC5284" w:rsidRPr="00BC5284" w:rsidRDefault="00BC5284">
            <w:pPr>
              <w:pStyle w:val="TableText"/>
            </w:pPr>
            <w:r w:rsidRPr="00BC5284">
              <w:rPr>
                <w:color w:val="AA1E2D"/>
              </w:rPr>
              <w:t>•</w:t>
            </w:r>
            <w:r w:rsidRPr="00BC5284">
              <w:t xml:space="preserve">   Poor public understanding of</w:t>
            </w:r>
            <w:r w:rsidR="00C70825">
              <w:br/>
              <w:t xml:space="preserve">     </w:t>
            </w:r>
            <w:r w:rsidRPr="00BC5284">
              <w:t>heritage</w:t>
            </w:r>
          </w:p>
          <w:p w14:paraId="7E721E48" w14:textId="77777777" w:rsidR="00BC5284" w:rsidRPr="00BC5284" w:rsidRDefault="00BC5284">
            <w:pPr>
              <w:pStyle w:val="TableText"/>
            </w:pPr>
            <w:r w:rsidRPr="00BC5284">
              <w:rPr>
                <w:color w:val="AA1E2D"/>
              </w:rPr>
              <w:t>•</w:t>
            </w:r>
            <w:r w:rsidRPr="00BC5284">
              <w:t xml:space="preserve">   Insufficient enforcement and</w:t>
            </w:r>
            <w:r w:rsidR="00C70825">
              <w:br/>
              <w:t xml:space="preserve">     </w:t>
            </w:r>
            <w:r w:rsidRPr="00BC5284">
              <w:t>penalties</w:t>
            </w:r>
          </w:p>
        </w:tc>
        <w:tc>
          <w:tcPr>
            <w:tcW w:w="2991"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7B00BAC5" w14:textId="77777777" w:rsidR="00BC5284" w:rsidRPr="00BC5284" w:rsidRDefault="00BC5284">
            <w:pPr>
              <w:pStyle w:val="TableText"/>
            </w:pPr>
            <w:r w:rsidRPr="00BC5284">
              <w:rPr>
                <w:color w:val="AA1E2D"/>
              </w:rPr>
              <w:t>•</w:t>
            </w:r>
            <w:r w:rsidRPr="00BC5284">
              <w:t xml:space="preserve">   Poor quality heritage studies</w:t>
            </w:r>
          </w:p>
          <w:p w14:paraId="660A1944" w14:textId="77777777" w:rsidR="00BC5284" w:rsidRPr="00BC5284" w:rsidRDefault="00BC5284">
            <w:pPr>
              <w:pStyle w:val="TableText"/>
            </w:pPr>
            <w:r w:rsidRPr="00BC5284">
              <w:rPr>
                <w:color w:val="AA1E2D"/>
              </w:rPr>
              <w:t>•</w:t>
            </w:r>
            <w:r w:rsidRPr="00BC5284">
              <w:t xml:space="preserve">   Heritage Overlay</w:t>
            </w:r>
          </w:p>
          <w:p w14:paraId="2C782FBA" w14:textId="77777777" w:rsidR="00BC5284" w:rsidRPr="00BC5284" w:rsidRDefault="00BC5284">
            <w:pPr>
              <w:pStyle w:val="TableText"/>
            </w:pPr>
            <w:r w:rsidRPr="00BC5284">
              <w:rPr>
                <w:color w:val="AA1E2D"/>
              </w:rPr>
              <w:t>•</w:t>
            </w:r>
            <w:r w:rsidRPr="00BC5284">
              <w:t xml:space="preserve">   Poor public understanding of</w:t>
            </w:r>
            <w:r w:rsidR="00C70825">
              <w:br/>
              <w:t xml:space="preserve">     </w:t>
            </w:r>
            <w:r w:rsidRPr="00BC5284">
              <w:t>heritage</w:t>
            </w:r>
          </w:p>
          <w:p w14:paraId="19CBCD3C" w14:textId="77777777" w:rsidR="00BC5284" w:rsidRPr="00BC5284" w:rsidRDefault="00BC5284">
            <w:pPr>
              <w:pStyle w:val="TableText"/>
            </w:pPr>
            <w:r w:rsidRPr="00BC5284">
              <w:rPr>
                <w:color w:val="AA1E2D"/>
              </w:rPr>
              <w:t>•</w:t>
            </w:r>
            <w:r w:rsidRPr="00BC5284">
              <w:t xml:space="preserve">   Expenses, lack of funding</w:t>
            </w:r>
          </w:p>
        </w:tc>
        <w:tc>
          <w:tcPr>
            <w:tcW w:w="2930"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3A8D4865" w14:textId="77777777" w:rsidR="00BC5284" w:rsidRPr="00BC5284" w:rsidRDefault="00BC5284">
            <w:pPr>
              <w:pStyle w:val="TableText"/>
            </w:pPr>
            <w:r w:rsidRPr="00BC5284">
              <w:rPr>
                <w:color w:val="AA1E2D"/>
              </w:rPr>
              <w:t>•</w:t>
            </w:r>
            <w:r w:rsidRPr="00BC5284">
              <w:t xml:space="preserve">   The failure of many local councils to</w:t>
            </w:r>
            <w:r w:rsidR="00C70825">
              <w:br/>
              <w:t xml:space="preserve">     </w:t>
            </w:r>
            <w:r w:rsidRPr="00BC5284">
              <w:t>protect local heritage</w:t>
            </w:r>
          </w:p>
          <w:p w14:paraId="591F1D1C" w14:textId="77777777" w:rsidR="00BC5284" w:rsidRPr="00BC5284" w:rsidRDefault="00BC5284">
            <w:pPr>
              <w:pStyle w:val="TableText"/>
            </w:pPr>
            <w:r w:rsidRPr="00BC5284">
              <w:rPr>
                <w:color w:val="AA1E2D"/>
              </w:rPr>
              <w:t>•</w:t>
            </w:r>
            <w:r w:rsidRPr="00BC5284">
              <w:t xml:space="preserve">   Insufficient enforcement and</w:t>
            </w:r>
            <w:r w:rsidR="00C70825">
              <w:br/>
              <w:t xml:space="preserve">     </w:t>
            </w:r>
            <w:r w:rsidRPr="00BC5284">
              <w:t>penalties</w:t>
            </w:r>
          </w:p>
          <w:p w14:paraId="19ACB3E2" w14:textId="77777777" w:rsidR="00BC5284" w:rsidRPr="00BC5284" w:rsidRDefault="00BC5284">
            <w:pPr>
              <w:pStyle w:val="TableText"/>
            </w:pPr>
            <w:r w:rsidRPr="00BC5284">
              <w:rPr>
                <w:color w:val="AA1E2D"/>
              </w:rPr>
              <w:t>•</w:t>
            </w:r>
            <w:r w:rsidRPr="00BC5284">
              <w:t xml:space="preserve">   Too much discretion within the</w:t>
            </w:r>
            <w:r w:rsidR="00C70825">
              <w:br/>
              <w:t xml:space="preserve">     </w:t>
            </w:r>
            <w:r w:rsidRPr="00BC5284">
              <w:t>planning system</w:t>
            </w:r>
          </w:p>
        </w:tc>
      </w:tr>
      <w:tr w:rsidR="00BC5284" w:rsidRPr="00BC5284" w14:paraId="28E08418" w14:textId="77777777">
        <w:trPr>
          <w:trHeight w:val="60"/>
        </w:trPr>
        <w:tc>
          <w:tcPr>
            <w:tcW w:w="1336" w:type="dxa"/>
            <w:tcBorders>
              <w:top w:val="single" w:sz="16" w:space="0" w:color="B9B9BA"/>
              <w:left w:val="single" w:sz="6" w:space="0" w:color="000000"/>
              <w:bottom w:val="single" w:sz="16" w:space="0" w:color="B9B9BA"/>
              <w:right w:val="single" w:sz="6" w:space="0" w:color="000000"/>
            </w:tcBorders>
            <w:tcMar>
              <w:top w:w="170" w:type="dxa"/>
              <w:left w:w="0" w:type="dxa"/>
              <w:bottom w:w="170" w:type="dxa"/>
              <w:right w:w="80" w:type="dxa"/>
            </w:tcMar>
          </w:tcPr>
          <w:p w14:paraId="1DE82E2F" w14:textId="77777777" w:rsidR="00BC5284" w:rsidRPr="00BC5284" w:rsidRDefault="00234914">
            <w:pPr>
              <w:pStyle w:val="TableText"/>
            </w:pPr>
            <w:r>
              <w:rPr>
                <w:rStyle w:val="TabletextBold"/>
                <w:rFonts w:cs="FreightSans Pro Bold"/>
                <w:bCs/>
              </w:rPr>
              <w:t xml:space="preserve">  </w:t>
            </w:r>
            <w:r w:rsidR="00BC5284" w:rsidRPr="00BC5284">
              <w:rPr>
                <w:rStyle w:val="TabletextBold"/>
                <w:rFonts w:cs="FreightSans Pro Bold"/>
                <w:bCs/>
              </w:rPr>
              <w:t>Opportunities</w:t>
            </w:r>
            <w:r w:rsidR="00BC5284" w:rsidRPr="00BC5284">
              <w:t xml:space="preserve"> </w:t>
            </w:r>
          </w:p>
        </w:tc>
        <w:tc>
          <w:tcPr>
            <w:tcW w:w="2948"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6F409032" w14:textId="77777777" w:rsidR="00BC5284" w:rsidRPr="00BC5284" w:rsidRDefault="00BC5284">
            <w:pPr>
              <w:pStyle w:val="TableText"/>
            </w:pPr>
            <w:r w:rsidRPr="00BC5284">
              <w:rPr>
                <w:color w:val="AA1E2D"/>
              </w:rPr>
              <w:t>•</w:t>
            </w:r>
            <w:r w:rsidRPr="00BC5284">
              <w:t xml:space="preserve">   State funding</w:t>
            </w:r>
          </w:p>
          <w:p w14:paraId="1AE8C72D" w14:textId="77777777" w:rsidR="00BC5284" w:rsidRPr="00BC5284" w:rsidRDefault="00BC5284">
            <w:pPr>
              <w:pStyle w:val="TableText"/>
            </w:pPr>
            <w:r w:rsidRPr="00BC5284">
              <w:rPr>
                <w:color w:val="AA1E2D"/>
              </w:rPr>
              <w:t>•</w:t>
            </w:r>
            <w:r w:rsidRPr="00BC5284">
              <w:t xml:space="preserve">   State guidance and assistance</w:t>
            </w:r>
          </w:p>
          <w:p w14:paraId="6F2DCA4F" w14:textId="77777777" w:rsidR="00BC5284" w:rsidRPr="00BC5284" w:rsidRDefault="00BC5284">
            <w:pPr>
              <w:pStyle w:val="TableText"/>
            </w:pPr>
            <w:r w:rsidRPr="00BC5284">
              <w:rPr>
                <w:color w:val="AA1E2D"/>
              </w:rPr>
              <w:t>•</w:t>
            </w:r>
            <w:r w:rsidRPr="00BC5284">
              <w:t xml:space="preserve">   Education and training</w:t>
            </w:r>
          </w:p>
        </w:tc>
        <w:tc>
          <w:tcPr>
            <w:tcW w:w="2991"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4AB7250C" w14:textId="77777777" w:rsidR="00BC5284" w:rsidRPr="00BC5284" w:rsidRDefault="00BC5284">
            <w:pPr>
              <w:pStyle w:val="TableText"/>
            </w:pPr>
            <w:r w:rsidRPr="00BC5284">
              <w:rPr>
                <w:color w:val="AA1E2D"/>
              </w:rPr>
              <w:t>•</w:t>
            </w:r>
            <w:r w:rsidRPr="00BC5284">
              <w:t xml:space="preserve">   State funding</w:t>
            </w:r>
          </w:p>
          <w:p w14:paraId="6F150A02" w14:textId="77777777" w:rsidR="00BC5284" w:rsidRPr="00BC5284" w:rsidRDefault="00BC5284">
            <w:pPr>
              <w:pStyle w:val="TableText"/>
            </w:pPr>
            <w:r w:rsidRPr="00BC5284">
              <w:rPr>
                <w:color w:val="AA1E2D"/>
              </w:rPr>
              <w:t>•</w:t>
            </w:r>
            <w:r w:rsidRPr="00BC5284">
              <w:t xml:space="preserve">   Specific improvements to the</w:t>
            </w:r>
            <w:r w:rsidR="00C70825">
              <w:br/>
              <w:t xml:space="preserve">     </w:t>
            </w:r>
            <w:r w:rsidRPr="00BC5284">
              <w:t>Heritage Overlay</w:t>
            </w:r>
          </w:p>
          <w:p w14:paraId="152DE7F7" w14:textId="77777777" w:rsidR="00BC5284" w:rsidRPr="00BC5284" w:rsidRDefault="00BC5284">
            <w:pPr>
              <w:pStyle w:val="TableText"/>
            </w:pPr>
            <w:r w:rsidRPr="00BC5284">
              <w:rPr>
                <w:color w:val="AA1E2D"/>
              </w:rPr>
              <w:t>•</w:t>
            </w:r>
            <w:r w:rsidRPr="00BC5284">
              <w:t xml:space="preserve">   Better collaboration between State</w:t>
            </w:r>
            <w:r w:rsidR="00C70825">
              <w:br/>
              <w:t xml:space="preserve">     </w:t>
            </w:r>
            <w:r w:rsidRPr="00BC5284">
              <w:t>and local governments</w:t>
            </w:r>
          </w:p>
        </w:tc>
        <w:tc>
          <w:tcPr>
            <w:tcW w:w="2930"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1D289E50" w14:textId="77777777" w:rsidR="00BC5284" w:rsidRPr="00BC5284" w:rsidRDefault="00BC5284">
            <w:pPr>
              <w:pStyle w:val="TableText"/>
            </w:pPr>
            <w:r w:rsidRPr="00BC5284">
              <w:rPr>
                <w:color w:val="AA1E2D"/>
              </w:rPr>
              <w:t>•</w:t>
            </w:r>
            <w:r w:rsidRPr="00BC5284">
              <w:t xml:space="preserve">   State funding</w:t>
            </w:r>
          </w:p>
          <w:p w14:paraId="3A4E23A7" w14:textId="77777777" w:rsidR="00BC5284" w:rsidRPr="00BC5284" w:rsidRDefault="00BC5284">
            <w:pPr>
              <w:pStyle w:val="TableText"/>
            </w:pPr>
            <w:r w:rsidRPr="00BC5284">
              <w:rPr>
                <w:color w:val="AA1E2D"/>
              </w:rPr>
              <w:t>•</w:t>
            </w:r>
            <w:r w:rsidRPr="00BC5284">
              <w:t xml:space="preserve">   Greater enforcement and penalties</w:t>
            </w:r>
          </w:p>
          <w:p w14:paraId="62BA872C" w14:textId="77777777" w:rsidR="00BC5284" w:rsidRPr="00BC5284" w:rsidRDefault="00BC5284">
            <w:pPr>
              <w:pStyle w:val="TableText"/>
            </w:pPr>
            <w:r w:rsidRPr="00BC5284">
              <w:rPr>
                <w:color w:val="AA1E2D"/>
              </w:rPr>
              <w:t>•</w:t>
            </w:r>
            <w:r w:rsidRPr="00BC5284">
              <w:t xml:space="preserve">   Reforms to VCAT decision-making</w:t>
            </w:r>
          </w:p>
        </w:tc>
      </w:tr>
      <w:tr w:rsidR="00BC5284" w:rsidRPr="00BC5284" w14:paraId="160D66C6" w14:textId="77777777">
        <w:trPr>
          <w:trHeight w:val="60"/>
        </w:trPr>
        <w:tc>
          <w:tcPr>
            <w:tcW w:w="1336" w:type="dxa"/>
            <w:tcBorders>
              <w:top w:val="single" w:sz="16" w:space="0" w:color="B9B9BA"/>
              <w:left w:val="single" w:sz="6" w:space="0" w:color="000000"/>
              <w:bottom w:val="single" w:sz="16" w:space="0" w:color="B9B9BA"/>
              <w:right w:val="single" w:sz="6" w:space="0" w:color="000000"/>
            </w:tcBorders>
            <w:tcMar>
              <w:top w:w="170" w:type="dxa"/>
              <w:left w:w="0" w:type="dxa"/>
              <w:bottom w:w="170" w:type="dxa"/>
              <w:right w:w="80" w:type="dxa"/>
            </w:tcMar>
          </w:tcPr>
          <w:p w14:paraId="48384FC8" w14:textId="77777777" w:rsidR="00BC5284" w:rsidRPr="00BC5284" w:rsidRDefault="00234914">
            <w:pPr>
              <w:pStyle w:val="TableText"/>
            </w:pPr>
            <w:r>
              <w:rPr>
                <w:rStyle w:val="TabletextBold"/>
                <w:rFonts w:cs="FreightSans Pro Bold"/>
                <w:bCs/>
              </w:rPr>
              <w:t xml:space="preserve">  </w:t>
            </w:r>
            <w:r w:rsidR="00BC5284" w:rsidRPr="00BC5284">
              <w:rPr>
                <w:rStyle w:val="TabletextBold"/>
                <w:rFonts w:cs="FreightSans Pro Bold"/>
                <w:bCs/>
              </w:rPr>
              <w:t>Threats</w:t>
            </w:r>
            <w:r w:rsidR="00BC5284" w:rsidRPr="00BC5284">
              <w:rPr>
                <w:rStyle w:val="TextBold"/>
                <w:rFonts w:cs="FreightText Pro Bold"/>
                <w:bCs/>
                <w:szCs w:val="20"/>
              </w:rPr>
              <w:t xml:space="preserve"> </w:t>
            </w:r>
          </w:p>
        </w:tc>
        <w:tc>
          <w:tcPr>
            <w:tcW w:w="2948"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335974F0" w14:textId="77777777" w:rsidR="00BC5284" w:rsidRPr="00BC5284" w:rsidRDefault="00BC5284">
            <w:pPr>
              <w:pStyle w:val="TableText"/>
            </w:pPr>
            <w:r w:rsidRPr="00BC5284">
              <w:rPr>
                <w:color w:val="AA1E2D"/>
              </w:rPr>
              <w:t>•</w:t>
            </w:r>
            <w:r w:rsidRPr="00BC5284">
              <w:t xml:space="preserve">   Development pressures</w:t>
            </w:r>
          </w:p>
          <w:p w14:paraId="09E7E765" w14:textId="77777777" w:rsidR="00BC5284" w:rsidRPr="00BC5284" w:rsidRDefault="00BC5284">
            <w:pPr>
              <w:pStyle w:val="TableText"/>
            </w:pPr>
            <w:r w:rsidRPr="00BC5284">
              <w:rPr>
                <w:color w:val="AA1E2D"/>
              </w:rPr>
              <w:lastRenderedPageBreak/>
              <w:t>•</w:t>
            </w:r>
            <w:r w:rsidRPr="00BC5284">
              <w:t xml:space="preserve">   Expenses, lack of funding</w:t>
            </w:r>
          </w:p>
          <w:p w14:paraId="20A4B6C1" w14:textId="77777777" w:rsidR="00BC5284" w:rsidRPr="00BC5284" w:rsidRDefault="00BC5284">
            <w:pPr>
              <w:pStyle w:val="TableText"/>
            </w:pPr>
            <w:r w:rsidRPr="00BC5284">
              <w:rPr>
                <w:color w:val="AA1E2D"/>
              </w:rPr>
              <w:t>•</w:t>
            </w:r>
            <w:r w:rsidRPr="00BC5284">
              <w:t xml:space="preserve">   The planning scheme amendment</w:t>
            </w:r>
            <w:r w:rsidR="00C70825">
              <w:br/>
              <w:t xml:space="preserve">     </w:t>
            </w:r>
            <w:r w:rsidRPr="00BC5284">
              <w:t>process</w:t>
            </w:r>
          </w:p>
        </w:tc>
        <w:tc>
          <w:tcPr>
            <w:tcW w:w="2991"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6A03D244" w14:textId="77777777" w:rsidR="00BC5284" w:rsidRPr="00BC5284" w:rsidRDefault="00BC5284">
            <w:pPr>
              <w:pStyle w:val="TableText"/>
            </w:pPr>
            <w:r w:rsidRPr="00BC5284">
              <w:rPr>
                <w:color w:val="AA1E2D"/>
              </w:rPr>
              <w:lastRenderedPageBreak/>
              <w:t>•</w:t>
            </w:r>
            <w:r w:rsidRPr="00BC5284">
              <w:t xml:space="preserve">   Expenses, lack of funding</w:t>
            </w:r>
          </w:p>
          <w:p w14:paraId="2FA677D6" w14:textId="77777777" w:rsidR="00BC5284" w:rsidRPr="00BC5284" w:rsidRDefault="00BC5284">
            <w:pPr>
              <w:pStyle w:val="TableText"/>
            </w:pPr>
            <w:r w:rsidRPr="00BC5284">
              <w:rPr>
                <w:color w:val="AA1E2D"/>
              </w:rPr>
              <w:lastRenderedPageBreak/>
              <w:t>•</w:t>
            </w:r>
            <w:r w:rsidRPr="00BC5284">
              <w:t xml:space="preserve">   Poor public understanding of</w:t>
            </w:r>
            <w:r w:rsidR="00C70825">
              <w:br/>
              <w:t xml:space="preserve">     </w:t>
            </w:r>
            <w:r w:rsidRPr="00BC5284">
              <w:t>heritage</w:t>
            </w:r>
          </w:p>
          <w:p w14:paraId="20500D42" w14:textId="77777777" w:rsidR="00BC5284" w:rsidRPr="00BC5284" w:rsidRDefault="00BC5284">
            <w:pPr>
              <w:pStyle w:val="TableText"/>
            </w:pPr>
            <w:r w:rsidRPr="00BC5284">
              <w:rPr>
                <w:color w:val="AA1E2D"/>
              </w:rPr>
              <w:t>•</w:t>
            </w:r>
            <w:r w:rsidRPr="00BC5284">
              <w:t xml:space="preserve">   Lack of qualified heritage</w:t>
            </w:r>
            <w:r w:rsidR="00C70825">
              <w:br/>
              <w:t xml:space="preserve">     </w:t>
            </w:r>
            <w:r w:rsidRPr="00BC5284">
              <w:t>professionals</w:t>
            </w:r>
          </w:p>
        </w:tc>
        <w:tc>
          <w:tcPr>
            <w:tcW w:w="2930" w:type="dxa"/>
            <w:tcBorders>
              <w:top w:val="single" w:sz="2" w:space="0" w:color="000000"/>
              <w:left w:val="single" w:sz="6" w:space="0" w:color="000000"/>
              <w:bottom w:val="single" w:sz="2" w:space="0" w:color="000000"/>
              <w:right w:val="single" w:sz="6" w:space="0" w:color="000000"/>
            </w:tcBorders>
            <w:tcMar>
              <w:top w:w="113" w:type="dxa"/>
              <w:left w:w="113" w:type="dxa"/>
              <w:bottom w:w="170" w:type="dxa"/>
              <w:right w:w="80" w:type="dxa"/>
            </w:tcMar>
          </w:tcPr>
          <w:p w14:paraId="3A195F83" w14:textId="77777777" w:rsidR="00BC5284" w:rsidRPr="00BC5284" w:rsidRDefault="00BC5284">
            <w:pPr>
              <w:pStyle w:val="TableText"/>
            </w:pPr>
            <w:r w:rsidRPr="00BC5284">
              <w:rPr>
                <w:color w:val="AA1E2D"/>
              </w:rPr>
              <w:lastRenderedPageBreak/>
              <w:t>•</w:t>
            </w:r>
            <w:r w:rsidRPr="00BC5284">
              <w:t xml:space="preserve">   The failure of councils to protect</w:t>
            </w:r>
            <w:r w:rsidR="00C70825">
              <w:br/>
            </w:r>
            <w:r w:rsidR="00C70825">
              <w:lastRenderedPageBreak/>
              <w:t xml:space="preserve">     </w:t>
            </w:r>
            <w:r w:rsidRPr="00BC5284">
              <w:t>local heritage</w:t>
            </w:r>
          </w:p>
          <w:p w14:paraId="7A7209D1" w14:textId="77777777" w:rsidR="00BC5284" w:rsidRPr="00BC5284" w:rsidRDefault="00BC5284">
            <w:pPr>
              <w:pStyle w:val="TableText"/>
            </w:pPr>
            <w:r w:rsidRPr="00BC5284">
              <w:rPr>
                <w:color w:val="AA1E2D"/>
              </w:rPr>
              <w:t>•</w:t>
            </w:r>
            <w:r w:rsidRPr="00BC5284">
              <w:t xml:space="preserve">   Development pressures</w:t>
            </w:r>
          </w:p>
          <w:p w14:paraId="03EF7FFB" w14:textId="77777777" w:rsidR="00BC5284" w:rsidRPr="00BC5284" w:rsidRDefault="00BC5284">
            <w:pPr>
              <w:pStyle w:val="TableText"/>
            </w:pPr>
            <w:r w:rsidRPr="00BC5284">
              <w:rPr>
                <w:color w:val="AA1E2D"/>
              </w:rPr>
              <w:t>•</w:t>
            </w:r>
            <w:r w:rsidRPr="00BC5284">
              <w:t xml:space="preserve">   Expenses, lack of funding</w:t>
            </w:r>
          </w:p>
        </w:tc>
      </w:tr>
    </w:tbl>
    <w:p w14:paraId="1B2C8250" w14:textId="77777777" w:rsidR="00BC5284" w:rsidRDefault="00BC5284">
      <w:pPr>
        <w:pStyle w:val="ChapterHeading"/>
        <w:rPr>
          <w:rStyle w:val="TextItalic"/>
          <w:rFonts w:ascii="FreightText Pro Bold" w:hAnsi="FreightText Pro Bold"/>
          <w:i w:val="0"/>
          <w:sz w:val="60"/>
        </w:rPr>
      </w:pPr>
    </w:p>
    <w:p w14:paraId="158FFC60" w14:textId="77777777" w:rsidR="00BC5284" w:rsidRDefault="00BC5284">
      <w:pPr>
        <w:pStyle w:val="TextBulletsPara"/>
      </w:pPr>
      <w:r>
        <w:rPr>
          <w:rStyle w:val="TextBullet"/>
        </w:rPr>
        <w:t>•</w:t>
      </w:r>
      <w:r>
        <w:rPr>
          <w:rStyle w:val="TextBullet"/>
        </w:rPr>
        <w:tab/>
      </w:r>
      <w:r>
        <w:t>Both council and community respondents also identified the inability to enforce maintenance and reduce ‘demolition by neglect’</w:t>
      </w:r>
      <w:r w:rsidR="00C70825">
        <w:rPr>
          <w:rStyle w:val="FootnoteReference"/>
        </w:rPr>
        <w:footnoteReference w:id="11"/>
      </w:r>
      <w:r>
        <w:t>, and insufficient penalties for illegal demolition of heritage places as weaknesses. The latter was not surprising, given the recent media coverage of such demolitions.</w:t>
      </w:r>
    </w:p>
    <w:p w14:paraId="38680734" w14:textId="77777777" w:rsidR="00BC5284" w:rsidRDefault="00BC5284">
      <w:pPr>
        <w:pStyle w:val="TextBulletsPara"/>
      </w:pPr>
      <w:r>
        <w:rPr>
          <w:rStyle w:val="TextBullet"/>
        </w:rPr>
        <w:t>•</w:t>
      </w:r>
      <w:r>
        <w:rPr>
          <w:rStyle w:val="TextBullet"/>
        </w:rPr>
        <w:tab/>
      </w:r>
      <w:r>
        <w:t>Council and community survey respondents agreed that more State Government involvement in the form of both funding (the specifics of which were not provided) and support (such as guidance, training and collaboration) provided the best opportunities to improve the local heritage system. They also agreed that greater enforcement of maintenance and penalties for illegal demolition of heritage places, and improved access to heritage information online presented opportunities for improvement.</w:t>
      </w:r>
    </w:p>
    <w:p w14:paraId="09E9308F" w14:textId="77777777" w:rsidR="00BC5284" w:rsidRDefault="00BC5284">
      <w:pPr>
        <w:pStyle w:val="TextBulletsPara"/>
      </w:pPr>
      <w:r>
        <w:rPr>
          <w:rStyle w:val="TextBullet"/>
        </w:rPr>
        <w:t>•</w:t>
      </w:r>
      <w:r>
        <w:rPr>
          <w:rStyle w:val="TextBullet"/>
        </w:rPr>
        <w:tab/>
      </w:r>
      <w:r>
        <w:t>Council and community survey respondents identified development pressures as the main threat to local heritage. The respondents also identified a lack of heritage knowledge within both the council and community as significant threats. Community survey respondents saw council inaction (particularly around identifying, protecting and supporting local heritage) as a threat.</w:t>
      </w:r>
    </w:p>
    <w:p w14:paraId="51F8892F" w14:textId="77777777" w:rsidR="00BC5284" w:rsidRDefault="00BC5284">
      <w:pPr>
        <w:pStyle w:val="Headingsubtitle1"/>
        <w:rPr>
          <w:color w:val="000000"/>
        </w:rPr>
      </w:pPr>
      <w:r>
        <w:rPr>
          <w:color w:val="000000"/>
        </w:rPr>
        <w:t>3.9 Local heritage workshops</w:t>
      </w:r>
    </w:p>
    <w:p w14:paraId="46B3A27F" w14:textId="77777777" w:rsidR="00BC5284" w:rsidRDefault="00BC5284">
      <w:pPr>
        <w:pStyle w:val="Text"/>
      </w:pPr>
      <w:r>
        <w:t>A series of local heritage workshops were held in October and November 2019 with representatives from local councils, the State Government and the heritage community. The purpose of the workshops was to better understand the main issues identified in council and community surveys as affecting local heritage outcomes</w:t>
      </w:r>
      <w:r w:rsidR="00C70825">
        <w:rPr>
          <w:rStyle w:val="FootnoteReference"/>
        </w:rPr>
        <w:footnoteReference w:id="12"/>
      </w:r>
      <w:r w:rsidR="00C70825">
        <w:rPr>
          <w:vertAlign w:val="superscript"/>
        </w:rPr>
        <w:t xml:space="preserve"> </w:t>
      </w:r>
      <w:r>
        <w:t>and collaboratively devise and refine potential solutions to them. The issues were grouped into the following topic areas:</w:t>
      </w:r>
    </w:p>
    <w:p w14:paraId="2FB1C46D" w14:textId="77777777" w:rsidR="00BC5284" w:rsidRDefault="00BC5284">
      <w:pPr>
        <w:pStyle w:val="TextBulletsPara"/>
      </w:pPr>
      <w:r>
        <w:rPr>
          <w:rStyle w:val="TextBullet"/>
        </w:rPr>
        <w:t>•</w:t>
      </w:r>
      <w:r>
        <w:rPr>
          <w:rStyle w:val="TextBullet"/>
        </w:rPr>
        <w:tab/>
      </w:r>
      <w:r>
        <w:t>Identification and protection process</w:t>
      </w:r>
    </w:p>
    <w:p w14:paraId="51C9593F" w14:textId="77777777" w:rsidR="00BC5284" w:rsidRDefault="00BC5284">
      <w:pPr>
        <w:pStyle w:val="TextBulletsPara"/>
      </w:pPr>
      <w:r>
        <w:rPr>
          <w:rStyle w:val="TextBullet"/>
        </w:rPr>
        <w:t>•</w:t>
      </w:r>
      <w:r>
        <w:rPr>
          <w:rStyle w:val="TextBullet"/>
        </w:rPr>
        <w:tab/>
      </w:r>
      <w:r>
        <w:t>State direction and guidance</w:t>
      </w:r>
    </w:p>
    <w:p w14:paraId="3471A2F3" w14:textId="77777777" w:rsidR="00BC5284" w:rsidRDefault="00BC5284">
      <w:pPr>
        <w:pStyle w:val="TextBulletsPara"/>
      </w:pPr>
      <w:r>
        <w:rPr>
          <w:rStyle w:val="TextBullet"/>
        </w:rPr>
        <w:t>•</w:t>
      </w:r>
      <w:r>
        <w:rPr>
          <w:rStyle w:val="TextBullet"/>
        </w:rPr>
        <w:tab/>
      </w:r>
      <w:r>
        <w:t>Council knowledge</w:t>
      </w:r>
    </w:p>
    <w:p w14:paraId="06850EAF" w14:textId="77777777" w:rsidR="00BC5284" w:rsidRDefault="00BC5284">
      <w:pPr>
        <w:pStyle w:val="TextBulletsPara"/>
      </w:pPr>
      <w:r>
        <w:rPr>
          <w:rStyle w:val="TextBullet"/>
        </w:rPr>
        <w:t>•</w:t>
      </w:r>
      <w:r>
        <w:rPr>
          <w:rStyle w:val="TextBullet"/>
        </w:rPr>
        <w:tab/>
      </w:r>
      <w:r>
        <w:t>Public knowledge and appreciation of heritage.</w:t>
      </w:r>
    </w:p>
    <w:p w14:paraId="39911136" w14:textId="77777777" w:rsidR="00BC5284" w:rsidRDefault="00BC5284">
      <w:pPr>
        <w:pStyle w:val="Text"/>
      </w:pPr>
      <w:r>
        <w:t xml:space="preserve">Many issues and practical solutions were discussed in the five workshops. The main issues and potential solutions identified for each topic area are presented below. </w:t>
      </w:r>
    </w:p>
    <w:p w14:paraId="0D4E22F5" w14:textId="77777777" w:rsidR="00BC5284" w:rsidRDefault="00BC5284">
      <w:pPr>
        <w:pStyle w:val="HeadingSubtitle2"/>
        <w:rPr>
          <w:color w:val="000000"/>
        </w:rPr>
      </w:pPr>
      <w:r>
        <w:rPr>
          <w:color w:val="000000"/>
        </w:rPr>
        <w:t>Identification and protection process</w:t>
      </w:r>
    </w:p>
    <w:p w14:paraId="099FB86B" w14:textId="77777777" w:rsidR="00BC5284" w:rsidRDefault="00BC5284">
      <w:pPr>
        <w:pStyle w:val="HeadingSubtitle3"/>
        <w:rPr>
          <w:color w:val="000000"/>
        </w:rPr>
      </w:pPr>
      <w:r>
        <w:rPr>
          <w:color w:val="000000"/>
        </w:rPr>
        <w:t>Resourcing / political will</w:t>
      </w:r>
    </w:p>
    <w:p w14:paraId="4F72A92D" w14:textId="77777777" w:rsidR="00BC5284" w:rsidRDefault="00BC5284">
      <w:pPr>
        <w:pStyle w:val="Text"/>
      </w:pPr>
      <w:r>
        <w:t>The workshop participants identified that resourcing was a major issue affecting the identification and protection of local heritage. However, the extent to which this was an issue varied considerably between councils. On the whole, it was identified that resourcing represents approximately 70–80% of the problem. Generally, resourcing was less of a concern for metropolitan councils than rural councils. Some metropolitan councils identified that resourcing was only 5–10% of the problem, as they had councillors who were very receptive to spending money on heritage. Most rural councils identified that resourcing was at least 80% of the problem. Overall, participants identified that councillor support for local heritage was linked to the resourcing of local heritage.</w:t>
      </w:r>
    </w:p>
    <w:p w14:paraId="7CD1080C" w14:textId="77777777" w:rsidR="00BC5284" w:rsidRDefault="00BC5284">
      <w:pPr>
        <w:pStyle w:val="Text"/>
      </w:pPr>
      <w:r>
        <w:t xml:space="preserve">Political will was also identified as an issue, particularly for the implementation of heritage studies. The workshop participants noted that a lack of political will, most commonly as a result of opposition from owners (discussed below), can result in councillors deciding to abandon planning scheme amendments to implement heritage studies. It is acknowledged that heritage studies can create uproar in the community. However, abandoning an amendment or implementing creative solutions, such as voluntary listings, to circumvent this is not acceptable. Protecting heritage is a council’s responsibility under the </w:t>
      </w:r>
      <w:r>
        <w:rPr>
          <w:rStyle w:val="TextItalic"/>
          <w:iCs/>
        </w:rPr>
        <w:t>Planning and Environment Act 1987</w:t>
      </w:r>
      <w:r>
        <w:t xml:space="preserve"> and </w:t>
      </w:r>
      <w:r>
        <w:lastRenderedPageBreak/>
        <w:t>that responsibility needs to be taken seriously, even if there is community opposition.</w:t>
      </w:r>
    </w:p>
    <w:p w14:paraId="7A2EB95B" w14:textId="77777777" w:rsidR="00BC5284" w:rsidRDefault="00BC5284">
      <w:pPr>
        <w:pStyle w:val="Text"/>
      </w:pPr>
      <w:r>
        <w:t>Participants suggested that information and/or training could be provided to councillors and council executives to improve perceptions about local heritage protection, such as the economic and social value of heritage, and remind them of their obligations to ensure that heritage is protected.</w:t>
      </w:r>
    </w:p>
    <w:p w14:paraId="6D89C1C8" w14:textId="77777777" w:rsidR="00BC5284" w:rsidRDefault="00BC5284">
      <w:pPr>
        <w:pStyle w:val="HeadingSubtitle3"/>
        <w:rPr>
          <w:color w:val="000000"/>
        </w:rPr>
      </w:pPr>
      <w:r>
        <w:rPr>
          <w:color w:val="000000"/>
        </w:rPr>
        <w:t>Opposition from owners</w:t>
      </w:r>
    </w:p>
    <w:p w14:paraId="58DBFAE2" w14:textId="77777777" w:rsidR="00BC5284" w:rsidRDefault="00BC5284">
      <w:pPr>
        <w:pStyle w:val="Text"/>
      </w:pPr>
      <w:r>
        <w:t xml:space="preserve">The workshop participants noted that the local heritage identification and protection process is time consuming and expensive. The participants identified that one of the reasons for this is the public’s perceptions of local heritage listing. Common feedback from participants was that some members of the public view the HO in a negative light, believing it to prevent development or changes to a property, reduce property value and add unnecessary expense, both in applying for a planning permit and increased insurance premiums. This results in opposition from property owners during the planning scheme amendment process, which in turn increases the cost of planning scheme amendments through lengthy PPV hearings for which an expert witness and legal counsel are often required. Participants identified that there is an opportunity to improve public perceptions about local heritage protection through education on how the local heritage system works (e.g. the roles and responsibilities of those involved), the implications of heritage listings (e.g. the HO does not mean that a place cannot change) and the benefits of heritage protection. Participants also identified the need for guidance on how best to engage with the community when undertaking heritage studies. </w:t>
      </w:r>
    </w:p>
    <w:p w14:paraId="0A34993B" w14:textId="77777777" w:rsidR="00BC5284" w:rsidRDefault="00BC5284">
      <w:pPr>
        <w:pStyle w:val="HeadingSubtitle3"/>
        <w:rPr>
          <w:color w:val="000000"/>
        </w:rPr>
      </w:pPr>
      <w:r>
        <w:rPr>
          <w:color w:val="000000"/>
        </w:rPr>
        <w:t>Heritage study information</w:t>
      </w:r>
    </w:p>
    <w:p w14:paraId="1EE719D8" w14:textId="77777777" w:rsidR="00BC5284" w:rsidRDefault="00BC5284">
      <w:pPr>
        <w:pStyle w:val="Text"/>
      </w:pPr>
      <w:r>
        <w:t>The workshop participants identified that another reason why the identification and protection process is time consuming and expensive is because of the requirements of DELWP and Planning Panels Victoria (PPV) during the planning scheme amendment phase. Each place of potential significance needs to be thoroughly researched and comparatively analysed to ensure that it meets the threshold of local significance and warrants inclusion in the HO. The minimum level of documentation expected has increased in the past 30 years. Participants suggested that there is potential to reduce the documentation required to demonstrate heritage significance, thereby reducing the labour and cost required for a heritage study. Participants also suggested that councils could band together and pool resources to conduct group heritage studies and planning scheme amendments.</w:t>
      </w:r>
    </w:p>
    <w:p w14:paraId="22D729CB" w14:textId="77777777" w:rsidR="00BC5284" w:rsidRDefault="00BC5284">
      <w:pPr>
        <w:pStyle w:val="HeadingSubtitle2"/>
        <w:rPr>
          <w:color w:val="000000"/>
        </w:rPr>
      </w:pPr>
      <w:r>
        <w:rPr>
          <w:color w:val="000000"/>
        </w:rPr>
        <w:t>State direction and guidance</w:t>
      </w:r>
    </w:p>
    <w:p w14:paraId="336B1EAC" w14:textId="77777777" w:rsidR="00BC5284" w:rsidRDefault="00BC5284">
      <w:pPr>
        <w:pStyle w:val="HeadingSubtitle3"/>
        <w:rPr>
          <w:color w:val="000000"/>
        </w:rPr>
      </w:pPr>
      <w:r>
        <w:rPr>
          <w:color w:val="000000"/>
        </w:rPr>
        <w:t>State Government direction</w:t>
      </w:r>
    </w:p>
    <w:p w14:paraId="2F8482BA" w14:textId="77777777" w:rsidR="00BC5284" w:rsidRDefault="00BC5284">
      <w:pPr>
        <w:pStyle w:val="Text"/>
      </w:pPr>
      <w:r>
        <w:t xml:space="preserve">The workshop participants identified a lack of direction on local heritage from the State Government as a significant issue. Participants felt that many councils were unaware of their obligations under the </w:t>
      </w:r>
      <w:r>
        <w:rPr>
          <w:rStyle w:val="TextItalic"/>
          <w:iCs/>
        </w:rPr>
        <w:t>Planning and Environment Act 1987</w:t>
      </w:r>
      <w:r>
        <w:t xml:space="preserve"> to ensure heritage places are identified and conserved or were unsure how best to approach this task. In addition, they were confused about where to go for help on these matters. The participants identified that there was no single point of contact at DELWP with whom they could speak regarding local heritage matters, concerns or advice, and cited instances where they received inconsistent advice from their DELWP Planning representatives. The participants suggested the need for a stronger, consistent direction from DELWP regarding local heritage and the need for this direction to be better integrated with other aspects of planning. In particular, they frequently suggested the need for dedicated local heritage staff within DELWP.</w:t>
      </w:r>
    </w:p>
    <w:p w14:paraId="0997F609" w14:textId="77777777" w:rsidR="00BC5284" w:rsidRDefault="00BC5284">
      <w:pPr>
        <w:pStyle w:val="HeadingSubtitle3"/>
        <w:rPr>
          <w:color w:val="000000"/>
        </w:rPr>
      </w:pPr>
      <w:r>
        <w:rPr>
          <w:color w:val="000000"/>
        </w:rPr>
        <w:t>State Government guidance</w:t>
      </w:r>
    </w:p>
    <w:p w14:paraId="25C6704B" w14:textId="77777777" w:rsidR="00BC5284" w:rsidRDefault="00BC5284">
      <w:pPr>
        <w:pStyle w:val="Text"/>
      </w:pPr>
      <w:r>
        <w:t>The workshop participants identified a range of issues where they felt there was a lack of guidance from the State Government. These issues included:</w:t>
      </w:r>
    </w:p>
    <w:p w14:paraId="48CEA97D" w14:textId="77777777" w:rsidR="00BC5284" w:rsidRDefault="00BC5284">
      <w:pPr>
        <w:pStyle w:val="TextBulletsPara"/>
      </w:pPr>
      <w:r>
        <w:rPr>
          <w:rStyle w:val="TextBullet"/>
        </w:rPr>
        <w:t>•</w:t>
      </w:r>
      <w:r>
        <w:rPr>
          <w:rStyle w:val="TextBullet"/>
        </w:rPr>
        <w:tab/>
      </w:r>
      <w:r>
        <w:t>the process for undertaking and project managing heritage studies, including community consultation</w:t>
      </w:r>
    </w:p>
    <w:p w14:paraId="3B48FBC0" w14:textId="77777777" w:rsidR="00BC5284" w:rsidRDefault="00BC5284">
      <w:pPr>
        <w:pStyle w:val="TextBulletsPara"/>
      </w:pPr>
      <w:r>
        <w:rPr>
          <w:rStyle w:val="TextBullet"/>
        </w:rPr>
        <w:t>•</w:t>
      </w:r>
      <w:r>
        <w:rPr>
          <w:rStyle w:val="TextBullet"/>
        </w:rPr>
        <w:tab/>
      </w:r>
      <w:r>
        <w:t>the relationship between individually significant, contributory and non-contributory places in the HO</w:t>
      </w:r>
    </w:p>
    <w:p w14:paraId="79EEB855" w14:textId="77777777" w:rsidR="00BC5284" w:rsidRDefault="00BC5284">
      <w:pPr>
        <w:pStyle w:val="TextBulletsPara"/>
      </w:pPr>
      <w:r>
        <w:rPr>
          <w:rStyle w:val="TextBullet"/>
        </w:rPr>
        <w:t>•</w:t>
      </w:r>
      <w:r>
        <w:rPr>
          <w:rStyle w:val="TextBullet"/>
        </w:rPr>
        <w:tab/>
      </w:r>
      <w:r>
        <w:t>the local threshold for the HO</w:t>
      </w:r>
    </w:p>
    <w:p w14:paraId="56228EF0" w14:textId="77777777" w:rsidR="00BC5284" w:rsidRDefault="00BC5284">
      <w:pPr>
        <w:pStyle w:val="TextBulletsPara"/>
      </w:pPr>
      <w:r>
        <w:rPr>
          <w:rStyle w:val="TextBullet"/>
        </w:rPr>
        <w:t>•</w:t>
      </w:r>
      <w:r>
        <w:rPr>
          <w:rStyle w:val="TextBullet"/>
        </w:rPr>
        <w:tab/>
      </w:r>
      <w:r>
        <w:t>how to write statements of significance and update those from older heritage studies</w:t>
      </w:r>
    </w:p>
    <w:p w14:paraId="06D262FC" w14:textId="77777777" w:rsidR="00BC5284" w:rsidRDefault="00BC5284">
      <w:pPr>
        <w:pStyle w:val="TextBulletsPara"/>
      </w:pPr>
      <w:r>
        <w:rPr>
          <w:rStyle w:val="TextBullet"/>
        </w:rPr>
        <w:t>•</w:t>
      </w:r>
      <w:r>
        <w:rPr>
          <w:rStyle w:val="TextBullet"/>
        </w:rPr>
        <w:tab/>
      </w:r>
      <w:r>
        <w:t>how best to manage reactive heritage assessments during the demolition referral process</w:t>
      </w:r>
    </w:p>
    <w:p w14:paraId="502C1033" w14:textId="77777777" w:rsidR="00BC5284" w:rsidRDefault="00BC5284">
      <w:pPr>
        <w:pStyle w:val="TextBulletsPara"/>
      </w:pPr>
      <w:r>
        <w:rPr>
          <w:rStyle w:val="TextBullet"/>
        </w:rPr>
        <w:t>•</w:t>
      </w:r>
      <w:r>
        <w:rPr>
          <w:rStyle w:val="TextBullet"/>
        </w:rPr>
        <w:tab/>
      </w:r>
      <w:r>
        <w:t>the process for applying an interim HO, especially for those places under immediate threat</w:t>
      </w:r>
    </w:p>
    <w:p w14:paraId="45764646" w14:textId="77777777" w:rsidR="00BC5284" w:rsidRDefault="00BC5284">
      <w:pPr>
        <w:pStyle w:val="TextBulletsPara"/>
      </w:pPr>
      <w:r>
        <w:rPr>
          <w:rStyle w:val="TextBullet"/>
        </w:rPr>
        <w:t>•</w:t>
      </w:r>
      <w:r>
        <w:rPr>
          <w:rStyle w:val="TextBullet"/>
        </w:rPr>
        <w:tab/>
      </w:r>
      <w:r>
        <w:t>heritage guidance in assessing planning permit applications</w:t>
      </w:r>
    </w:p>
    <w:p w14:paraId="6572CBC9" w14:textId="77777777" w:rsidR="00BC5284" w:rsidRDefault="00BC5284">
      <w:pPr>
        <w:pStyle w:val="TextBulletsPara"/>
      </w:pPr>
      <w:r>
        <w:rPr>
          <w:rStyle w:val="TextBullet"/>
        </w:rPr>
        <w:t>•</w:t>
      </w:r>
      <w:r>
        <w:rPr>
          <w:rStyle w:val="TextBullet"/>
        </w:rPr>
        <w:tab/>
      </w:r>
      <w:r>
        <w:t>when and how to use HERMES.</w:t>
      </w:r>
    </w:p>
    <w:p w14:paraId="0000CE7E" w14:textId="77777777" w:rsidR="00BC5284" w:rsidRDefault="00BC5284">
      <w:pPr>
        <w:pStyle w:val="Text"/>
      </w:pPr>
      <w:r>
        <w:t xml:space="preserve">They also noted that the information that does exist is hard to locate, as it is spread across different websites (some participants </w:t>
      </w:r>
      <w:r>
        <w:lastRenderedPageBreak/>
        <w:t>were unaware of the existence of several documents), and is often out of date, no longer reflecting best-practice thinking or approaches.</w:t>
      </w:r>
    </w:p>
    <w:p w14:paraId="39FE5D8A" w14:textId="77777777" w:rsidR="00BC5284" w:rsidRDefault="00BC5284">
      <w:pPr>
        <w:pStyle w:val="Text"/>
      </w:pPr>
      <w:r>
        <w:t xml:space="preserve">Workshop participants suggested, in particular, that the </w:t>
      </w:r>
      <w:r>
        <w:rPr>
          <w:rStyle w:val="TextItalic"/>
          <w:iCs/>
        </w:rPr>
        <w:t>Planning Practice Note 1 – Applying the Heritage Overlay</w:t>
      </w:r>
      <w:r>
        <w:t xml:space="preserve"> be updated to provide clearer guidance on these and a number of other issues. Where these issues could not be addressed through the Practice Note, it was suggested that new documents and other guidelines be developed to fill the gap. They also suggested that some types of guidance could be provided in the form of training sessions.</w:t>
      </w:r>
    </w:p>
    <w:p w14:paraId="6E573F96" w14:textId="77777777" w:rsidR="00BC5284" w:rsidRDefault="00BC5284">
      <w:pPr>
        <w:pStyle w:val="Text"/>
      </w:pPr>
      <w:r>
        <w:t xml:space="preserve">Participants also noted issues with engaging a quality heritage consultant. In 2010, Heritage Victoria released the </w:t>
      </w:r>
      <w:r>
        <w:rPr>
          <w:rStyle w:val="TextItalic"/>
          <w:iCs/>
        </w:rPr>
        <w:t>Model Consultants Brief for Heritage Studies</w:t>
      </w:r>
      <w:r>
        <w:t xml:space="preserve"> to assist councils seeking a consultant to undertake such work. Participants identified that this document was too general and wanted it to be tailored for different council types, different thematic studies and study stages. Participants also identified that the document did not provide enough guidance to ensure that consultants provide a heritage study report and recommendations that meet council needs and is more ‘amendment-proof’. It was suggested that the Model Consultants Brief be updated to address these issues.</w:t>
      </w:r>
    </w:p>
    <w:p w14:paraId="242F5DEC" w14:textId="77777777" w:rsidR="00BC5284" w:rsidRDefault="00BC5284">
      <w:pPr>
        <w:pStyle w:val="Text"/>
      </w:pPr>
      <w:r>
        <w:t>Another significant issue that the workshop participants identified was ensuring that local heritage places are maintained in a good condition. It is rare that planning permits are granted to demolish a heritage place. One way people try to improve the likelihood of a permit being granted is to allow a building to deteriorate to the point that demolition becomes necessary or that restoration becomes unfeasible, a process known as ‘demolition by neglect’. One participant wrote in the council survey that there is a ‘lack of legislative power of local government to require and enforce the maintenance of local heritage places’. Workshop participants wanted guidance on how to deal with enforcing heritage maintenance. In 2014, the Heritage Council commissioned the National Trust to undertake a ‘lab’ (workshop) on ‘demolition by neglect’. The lab reached a consensus that a local law was the most appropriate way to deal with the issue and proposed to draft a local law that could be used by all councils throughout Victoria. Unfortunately, the creation of a draft local law did not eventuate. Since this time, several councils in Victoria have implemented their own local law. Participants suggested the creation of a draft local law as potential solution to this problem.</w:t>
      </w:r>
    </w:p>
    <w:p w14:paraId="4832E719" w14:textId="77777777" w:rsidR="00BC5284" w:rsidRDefault="00BC5284">
      <w:pPr>
        <w:pStyle w:val="HeadingSubtitle2"/>
        <w:rPr>
          <w:color w:val="000000"/>
        </w:rPr>
      </w:pPr>
      <w:r>
        <w:rPr>
          <w:color w:val="000000"/>
        </w:rPr>
        <w:t>Council knowledge</w:t>
      </w:r>
    </w:p>
    <w:p w14:paraId="63D8850B" w14:textId="77777777" w:rsidR="00BC5284" w:rsidRDefault="00BC5284">
      <w:pPr>
        <w:pStyle w:val="HeadingSubtitle3"/>
        <w:rPr>
          <w:color w:val="000000"/>
        </w:rPr>
      </w:pPr>
      <w:r>
        <w:rPr>
          <w:color w:val="000000"/>
        </w:rPr>
        <w:t>Knowledge for planners</w:t>
      </w:r>
    </w:p>
    <w:p w14:paraId="0474E478" w14:textId="77777777" w:rsidR="00BC5284" w:rsidRDefault="00BC5284">
      <w:pPr>
        <w:pStyle w:val="Text"/>
      </w:pPr>
      <w:r>
        <w:t>Planners are at the frontline of local heritage: strategic planners are tasked with undertaking projects to identify, protect and support local heritage, while statutory planners are tasked with assessing planning permit applications for heritage places. However, workshop participants identified that graduate planners often enter the workforce with minimal heritage knowledge or interest, having had little exposure to heritage in their planning degrees. The participants also noted that local heritage was not a core or frequently occurring aspect of planning for most councils, which means there is little opportunity for on-the-job training and learning. Participants suggested that Heritage Council lobby the Planning Institute of Australia, which accredits planning degrees, and individual universities to include a heritage subject within their planning degrees. Participants also noted the need for ongoing heritage training for planners.</w:t>
      </w:r>
    </w:p>
    <w:p w14:paraId="136D9189" w14:textId="77777777" w:rsidR="00BC5284" w:rsidRDefault="00BC5284">
      <w:pPr>
        <w:pStyle w:val="HeadingSubtitle3"/>
        <w:rPr>
          <w:color w:val="000000"/>
        </w:rPr>
      </w:pPr>
      <w:r>
        <w:rPr>
          <w:color w:val="000000"/>
        </w:rPr>
        <w:t>Intra-council knowledge</w:t>
      </w:r>
    </w:p>
    <w:p w14:paraId="6D74E240" w14:textId="77777777" w:rsidR="00BC5284" w:rsidRDefault="00BC5284">
      <w:pPr>
        <w:pStyle w:val="Text"/>
      </w:pPr>
      <w:r>
        <w:t>The workshop participants identified that heritage knowledge within councils is often poor, particularly amongst councillors and executives but also non-planning officers, which affects local heritage decisions. They also noted that local heritage is not well enough integrated within other aspects of planning and council services, such as urban design, structure planning and capital works. To address this gap, participants suggested the dissemination of heritage information, primarily through the development of a heritage information pack that could be easily shared throughout council and training sessions.</w:t>
      </w:r>
    </w:p>
    <w:p w14:paraId="381894E8" w14:textId="77777777" w:rsidR="00BC5284" w:rsidRDefault="00BC5284">
      <w:pPr>
        <w:pStyle w:val="HeadingSubtitle3"/>
        <w:rPr>
          <w:color w:val="000000"/>
        </w:rPr>
      </w:pPr>
      <w:r>
        <w:rPr>
          <w:color w:val="000000"/>
        </w:rPr>
        <w:t>Inter-council knowledge</w:t>
      </w:r>
    </w:p>
    <w:p w14:paraId="2215523D" w14:textId="77777777" w:rsidR="00BC5284" w:rsidRDefault="00BC5284">
      <w:pPr>
        <w:pStyle w:val="Text"/>
      </w:pPr>
      <w:r>
        <w:t xml:space="preserve">The workshop participants also identified a gap in knowledge sharing between councils. Participants reported not knowing what other councils were doing in the local heritage space. To address inter-council knowledge sharing, participants suggested a range of solutions. These included better use of existing planning communication material, such as </w:t>
      </w:r>
      <w:r>
        <w:rPr>
          <w:rStyle w:val="TextItalic"/>
          <w:iCs/>
        </w:rPr>
        <w:t>Planning Matters</w:t>
      </w:r>
      <w:r>
        <w:t xml:space="preserve">, and communication channels, such as the Heritage Council’s Local Government Forum and </w:t>
      </w:r>
      <w:r>
        <w:rPr>
          <w:rStyle w:val="TextItalic"/>
          <w:iCs/>
        </w:rPr>
        <w:t>Heritagechat</w:t>
      </w:r>
      <w:r>
        <w:t>, to help councils stay up-to-date on advancements.</w:t>
      </w:r>
    </w:p>
    <w:p w14:paraId="2700AC5A" w14:textId="77777777" w:rsidR="00BC5284" w:rsidRDefault="00BC5284">
      <w:pPr>
        <w:pStyle w:val="HeadingSubtitle2"/>
        <w:rPr>
          <w:color w:val="000000"/>
        </w:rPr>
      </w:pPr>
      <w:r>
        <w:rPr>
          <w:color w:val="000000"/>
        </w:rPr>
        <w:t>Public knowledge and appreciation of heritage</w:t>
      </w:r>
    </w:p>
    <w:p w14:paraId="5FE0C964" w14:textId="77777777" w:rsidR="00BC5284" w:rsidRDefault="00BC5284">
      <w:pPr>
        <w:pStyle w:val="HeadingSubtitle3"/>
        <w:rPr>
          <w:color w:val="000000"/>
        </w:rPr>
      </w:pPr>
      <w:r>
        <w:rPr>
          <w:color w:val="000000"/>
        </w:rPr>
        <w:t>Public knowledge</w:t>
      </w:r>
    </w:p>
    <w:p w14:paraId="4D9AF338" w14:textId="77777777" w:rsidR="00BC5284" w:rsidRDefault="00BC5284">
      <w:pPr>
        <w:pStyle w:val="Text"/>
        <w:rPr>
          <w:spacing w:val="-2"/>
        </w:rPr>
      </w:pPr>
      <w:r>
        <w:t xml:space="preserve">The workshop participants identified a lack of public knowledge about the system as well as negative perceptions  (such as heritage being costly, a barrier to change and preventer to development) as significant issues, which often result in political backlash and </w:t>
      </w:r>
      <w:r>
        <w:lastRenderedPageBreak/>
        <w:t xml:space="preserve">opposition from property owners during the planning scheme amendment process. Workshop participants had a number of suggestions on ways this could be mitigated, including better and more accessible information about how the system actually works and the potential social and economic benefits of recognising and preserving heritage to local economies, focusing on positive messages about </w:t>
      </w:r>
      <w:r>
        <w:rPr>
          <w:spacing w:val="-2"/>
        </w:rPr>
        <w:t>what can be done (rather than focusing only on constraints).</w:t>
      </w:r>
    </w:p>
    <w:p w14:paraId="4C7188C7" w14:textId="77777777" w:rsidR="00BC5284" w:rsidRDefault="00BC5284">
      <w:pPr>
        <w:pStyle w:val="HeadingSubtitle3"/>
        <w:rPr>
          <w:color w:val="000000"/>
        </w:rPr>
      </w:pPr>
      <w:r>
        <w:rPr>
          <w:color w:val="000000"/>
        </w:rPr>
        <w:t>Public appreciation</w:t>
      </w:r>
    </w:p>
    <w:p w14:paraId="3A99278A" w14:textId="77777777" w:rsidR="00BC5284" w:rsidRDefault="00BC5284">
      <w:pPr>
        <w:pStyle w:val="Text"/>
      </w:pPr>
      <w:r>
        <w:t>The workshop participants identified that communities need to have more exposure to ‘their’ heritage and to positive messages about heritage from a wider variety of sources in order to better appreciate it. They suggested that events are an excellent way to do this. The workshop participants also identified that the public need to see the value of heritage to appreciate it and noted that more work could be done to investigate the benefits that heritage offers communities.</w:t>
      </w:r>
    </w:p>
    <w:p w14:paraId="208EAC88" w14:textId="77777777" w:rsidR="00BC5284" w:rsidRDefault="00BC5284">
      <w:pPr>
        <w:pStyle w:val="Headingsubtitle1"/>
        <w:rPr>
          <w:color w:val="000000"/>
        </w:rPr>
      </w:pPr>
      <w:r>
        <w:rPr>
          <w:color w:val="000000"/>
        </w:rPr>
        <w:t>3.10 Analysis summary</w:t>
      </w:r>
    </w:p>
    <w:p w14:paraId="1C7D9741" w14:textId="77777777" w:rsidR="00BC5284" w:rsidRDefault="00BC5284">
      <w:pPr>
        <w:pStyle w:val="Text"/>
      </w:pPr>
      <w:r>
        <w:t>The following provides a summary of the key learnings from the analysis of local heritage provisions in Victoria.</w:t>
      </w:r>
    </w:p>
    <w:p w14:paraId="192054C9" w14:textId="77777777" w:rsidR="00BC5284" w:rsidRDefault="00BC5284">
      <w:pPr>
        <w:pStyle w:val="HeadingSubtitle3"/>
        <w:rPr>
          <w:color w:val="000000"/>
        </w:rPr>
      </w:pPr>
      <w:r>
        <w:rPr>
          <w:color w:val="000000"/>
        </w:rPr>
        <w:t>Areas working well</w:t>
      </w:r>
    </w:p>
    <w:p w14:paraId="08615107" w14:textId="77777777" w:rsidR="00BC5284" w:rsidRDefault="00BC5284">
      <w:pPr>
        <w:pStyle w:val="TextBulletsPara"/>
      </w:pPr>
      <w:r>
        <w:rPr>
          <w:rStyle w:val="TextBullet"/>
        </w:rPr>
        <w:t>•</w:t>
      </w:r>
      <w:r>
        <w:rPr>
          <w:rStyle w:val="TextBullet"/>
        </w:rPr>
        <w:tab/>
      </w:r>
      <w:r>
        <w:t>Almost all councils (96%) have completed a stage 2 heritage study to identify places of local significance. Some councils, such as the Frankston City Council, have undertaken heritage studies to identify place-types not commonly investigated, including post-war heritage.</w:t>
      </w:r>
    </w:p>
    <w:p w14:paraId="186E4141" w14:textId="77777777" w:rsidR="00BC5284" w:rsidRDefault="00BC5284">
      <w:pPr>
        <w:pStyle w:val="TextBulletsPara"/>
      </w:pPr>
      <w:r>
        <w:rPr>
          <w:rStyle w:val="TextBullet"/>
        </w:rPr>
        <w:t>•</w:t>
      </w:r>
      <w:r>
        <w:rPr>
          <w:rStyle w:val="TextBullet"/>
        </w:rPr>
        <w:tab/>
      </w:r>
      <w:r>
        <w:t>The Heritage Overlay is working well:</w:t>
      </w:r>
    </w:p>
    <w:p w14:paraId="58CA0792" w14:textId="77777777" w:rsidR="00BC5284" w:rsidRDefault="00BC5284">
      <w:pPr>
        <w:pStyle w:val="Text"/>
        <w:tabs>
          <w:tab w:val="left" w:pos="850"/>
        </w:tabs>
      </w:pPr>
      <w:r>
        <w:tab/>
        <w:t>–</w:t>
      </w:r>
      <w:r>
        <w:tab/>
        <w:t>There are 21,419 HOs in Victoria (as of 5 April 2019)</w:t>
      </w:r>
    </w:p>
    <w:p w14:paraId="59914547" w14:textId="77777777" w:rsidR="00BC5284" w:rsidRDefault="00BC5284">
      <w:pPr>
        <w:pStyle w:val="Text"/>
        <w:tabs>
          <w:tab w:val="left" w:pos="850"/>
        </w:tabs>
      </w:pPr>
      <w:r>
        <w:tab/>
      </w:r>
      <w:r>
        <w:tab/>
        <w:t>-</w:t>
      </w:r>
      <w:r>
        <w:tab/>
        <w:t>2,323 are for State significant places on the VHR</w:t>
      </w:r>
    </w:p>
    <w:p w14:paraId="351B9B72" w14:textId="77777777" w:rsidR="00BC5284" w:rsidRDefault="00BC5284">
      <w:pPr>
        <w:pStyle w:val="Text"/>
        <w:tabs>
          <w:tab w:val="left" w:pos="850"/>
        </w:tabs>
      </w:pPr>
      <w:r>
        <w:tab/>
      </w:r>
      <w:r>
        <w:tab/>
        <w:t>-</w:t>
      </w:r>
      <w:r>
        <w:tab/>
        <w:t>17,992 are for individually local significant places</w:t>
      </w:r>
    </w:p>
    <w:p w14:paraId="7F273868" w14:textId="77777777" w:rsidR="00BC5284" w:rsidRDefault="00BC5284">
      <w:pPr>
        <w:pStyle w:val="Text"/>
        <w:tabs>
          <w:tab w:val="left" w:pos="850"/>
        </w:tabs>
      </w:pPr>
      <w:r>
        <w:tab/>
      </w:r>
      <w:r>
        <w:tab/>
        <w:t>-</w:t>
      </w:r>
      <w:r>
        <w:tab/>
        <w:t>1,103 are for locally significant precincts.</w:t>
      </w:r>
    </w:p>
    <w:p w14:paraId="1EABDF60" w14:textId="77777777" w:rsidR="00BC5284" w:rsidRDefault="00BC5284" w:rsidP="000339C5">
      <w:pPr>
        <w:pStyle w:val="Text"/>
        <w:tabs>
          <w:tab w:val="left" w:pos="850"/>
        </w:tabs>
        <w:ind w:left="560" w:hanging="560"/>
      </w:pPr>
      <w:r>
        <w:tab/>
        <w:t>–</w:t>
      </w:r>
      <w:r>
        <w:tab/>
      </w:r>
      <w:r>
        <w:rPr>
          <w:spacing w:val="-4"/>
        </w:rPr>
        <w:t>Every council has at least 10 HOs in place – 25 councils</w:t>
      </w:r>
      <w:r>
        <w:t xml:space="preserve"> have over 200, nine councils have over 500, </w:t>
      </w:r>
      <w:r>
        <w:br/>
        <w:t>two councils have over 1,000.</w:t>
      </w:r>
    </w:p>
    <w:p w14:paraId="42A52770" w14:textId="77777777" w:rsidR="00BC5284" w:rsidRDefault="00BC5284">
      <w:pPr>
        <w:pStyle w:val="Text"/>
      </w:pPr>
      <w:r>
        <w:tab/>
        <w:t>–</w:t>
      </w:r>
      <w:r>
        <w:tab/>
        <w:t>Some councils, such as the Yarra City Council, have identified and protected a substantial amount of its local heritage.</w:t>
      </w:r>
    </w:p>
    <w:p w14:paraId="54E6CB0E" w14:textId="77777777" w:rsidR="00BC5284" w:rsidRDefault="00BC5284">
      <w:pPr>
        <w:pStyle w:val="Text"/>
        <w:rPr>
          <w:spacing w:val="-4"/>
        </w:rPr>
      </w:pPr>
      <w:r>
        <w:tab/>
        <w:t>–</w:t>
      </w:r>
      <w:r>
        <w:tab/>
      </w:r>
      <w:r>
        <w:rPr>
          <w:spacing w:val="-4"/>
        </w:rPr>
        <w:t>More than 186,000 properties are protected by the HO.</w:t>
      </w:r>
    </w:p>
    <w:p w14:paraId="3508A9FC" w14:textId="77777777" w:rsidR="00BC5284" w:rsidRDefault="00BC5284" w:rsidP="000339C5">
      <w:pPr>
        <w:pStyle w:val="Text"/>
        <w:ind w:left="560" w:hanging="560"/>
      </w:pPr>
      <w:r>
        <w:tab/>
        <w:t>–</w:t>
      </w:r>
      <w:r>
        <w:tab/>
        <w:t>Council and community survey respondents identified the protection that is provided through the HO as the biggest strength of the local system.</w:t>
      </w:r>
    </w:p>
    <w:p w14:paraId="286DF07B" w14:textId="77777777" w:rsidR="00BC5284" w:rsidRDefault="00BC5284">
      <w:pPr>
        <w:pStyle w:val="TextBulletsPara"/>
      </w:pPr>
      <w:r>
        <w:rPr>
          <w:rStyle w:val="TextBullet"/>
        </w:rPr>
        <w:t>•</w:t>
      </w:r>
      <w:r>
        <w:rPr>
          <w:rStyle w:val="TextBullet"/>
        </w:rPr>
        <w:tab/>
      </w:r>
      <w:r>
        <w:t>Many councils are doing something to support local heritage property owners:</w:t>
      </w:r>
    </w:p>
    <w:p w14:paraId="1CAF608C" w14:textId="77777777" w:rsidR="00BC5284" w:rsidRDefault="00BC5284" w:rsidP="000339C5">
      <w:pPr>
        <w:pStyle w:val="Text"/>
        <w:ind w:left="560" w:hanging="560"/>
      </w:pPr>
      <w:r>
        <w:tab/>
        <w:t>–</w:t>
      </w:r>
      <w:r>
        <w:tab/>
        <w:t>73% of all councils run a heritage advisory service. While this figure is down from 89% when it was funded by the State Government, it still remains the most common supportive measure. The council and community survey respondents identified these services as a key strength of the system.</w:t>
      </w:r>
    </w:p>
    <w:p w14:paraId="0F17A7BD" w14:textId="77777777" w:rsidR="00BC5284" w:rsidRDefault="00BC5284" w:rsidP="000339C5">
      <w:pPr>
        <w:pStyle w:val="Text"/>
        <w:ind w:left="560" w:hanging="560"/>
      </w:pPr>
      <w:r>
        <w:tab/>
        <w:t>–</w:t>
      </w:r>
      <w:r>
        <w:tab/>
        <w:t>18 councils offer grants, and seven councils offer loans to support heritage property owners to undertake conservation works.</w:t>
      </w:r>
    </w:p>
    <w:p w14:paraId="198ABF13" w14:textId="77777777" w:rsidR="00BC5284" w:rsidRDefault="00BC5284">
      <w:pPr>
        <w:pStyle w:val="Text"/>
      </w:pPr>
      <w:r>
        <w:tab/>
        <w:t>–</w:t>
      </w:r>
      <w:r>
        <w:tab/>
        <w:t>Some councils, such as the Glenelg Shire Council, are utilising all of the above measures to support local heritage.</w:t>
      </w:r>
    </w:p>
    <w:p w14:paraId="7AD10554" w14:textId="77777777" w:rsidR="00BC5284" w:rsidRDefault="00BC5284">
      <w:pPr>
        <w:pStyle w:val="TextBulletsPara"/>
      </w:pPr>
      <w:r>
        <w:rPr>
          <w:rStyle w:val="TextBullet"/>
        </w:rPr>
        <w:t>•</w:t>
      </w:r>
      <w:r>
        <w:rPr>
          <w:rStyle w:val="TextBullet"/>
        </w:rPr>
        <w:tab/>
      </w:r>
      <w:r>
        <w:t>A number of councils are promoting and celebrating their local heritage in different ways:</w:t>
      </w:r>
    </w:p>
    <w:p w14:paraId="3FC66805" w14:textId="77777777" w:rsidR="00BC5284" w:rsidRDefault="00BC5284">
      <w:pPr>
        <w:pStyle w:val="Text"/>
      </w:pPr>
      <w:r>
        <w:tab/>
        <w:t>–</w:t>
      </w:r>
      <w:r>
        <w:tab/>
        <w:t>26 councils run local heritage events, either by themselves or in partnership with another organisation.</w:t>
      </w:r>
    </w:p>
    <w:p w14:paraId="39914F13" w14:textId="77777777" w:rsidR="00BC5284" w:rsidRDefault="00BC5284" w:rsidP="000339C5">
      <w:pPr>
        <w:pStyle w:val="Text"/>
        <w:ind w:left="560" w:hanging="560"/>
      </w:pPr>
      <w:r>
        <w:tab/>
        <w:t>–</w:t>
      </w:r>
      <w:r>
        <w:tab/>
        <w:t>Some councils, such as the Whitehorse City Council, are utilising many different measures to promote and celebrate local heritage.</w:t>
      </w:r>
    </w:p>
    <w:p w14:paraId="16935BC7" w14:textId="77777777" w:rsidR="00BC5284" w:rsidRDefault="00BC5284">
      <w:pPr>
        <w:pStyle w:val="HeadingSubtitle3"/>
        <w:rPr>
          <w:color w:val="000000"/>
        </w:rPr>
      </w:pPr>
      <w:r>
        <w:rPr>
          <w:color w:val="000000"/>
        </w:rPr>
        <w:t>Areas for improvement</w:t>
      </w:r>
    </w:p>
    <w:p w14:paraId="2E34ACE6" w14:textId="77777777" w:rsidR="00BC5284" w:rsidRDefault="00BC5284">
      <w:pPr>
        <w:pStyle w:val="TextBulletsPara"/>
      </w:pPr>
      <w:r>
        <w:rPr>
          <w:rStyle w:val="TextBullet"/>
        </w:rPr>
        <w:t>•</w:t>
      </w:r>
      <w:r>
        <w:rPr>
          <w:rStyle w:val="TextBullet"/>
        </w:rPr>
        <w:tab/>
      </w:r>
      <w:r>
        <w:t>Heritage is not always a primary consideration or priority within councils, often being seen as something ‘extra’ to the core component of planning. This means it is sometimes missed or rushed in at the end, increasing the likelihood of it being seen as a roadblock.</w:t>
      </w:r>
    </w:p>
    <w:p w14:paraId="35D9B199" w14:textId="77777777" w:rsidR="00BC5284" w:rsidRDefault="00BC5284">
      <w:pPr>
        <w:pStyle w:val="TextBulletsPara"/>
      </w:pPr>
      <w:r>
        <w:rPr>
          <w:rStyle w:val="TextBullet"/>
        </w:rPr>
        <w:lastRenderedPageBreak/>
        <w:t>•</w:t>
      </w:r>
      <w:r>
        <w:rPr>
          <w:rStyle w:val="TextBullet"/>
        </w:rPr>
        <w:tab/>
      </w:r>
      <w:r>
        <w:t>There is a general lack of understanding of (and confusion about) both State and local heritage systems and how they work together – both within local government itself, which is concerning, and within the community.</w:t>
      </w:r>
    </w:p>
    <w:p w14:paraId="7B7EFD57" w14:textId="77777777" w:rsidR="00BC5284" w:rsidRDefault="00BC5284">
      <w:pPr>
        <w:pStyle w:val="TextBulletsPara"/>
      </w:pPr>
      <w:r>
        <w:rPr>
          <w:rStyle w:val="TextBullet"/>
        </w:rPr>
        <w:t>•</w:t>
      </w:r>
      <w:r>
        <w:rPr>
          <w:rStyle w:val="TextBullet"/>
        </w:rPr>
        <w:tab/>
      </w:r>
      <w:r>
        <w:t>There is a general lack of understanding of the benefits of heritage conservation, including benefits to the local economy and amenity of an area – both within government and the community.</w:t>
      </w:r>
    </w:p>
    <w:p w14:paraId="51C9ECBD" w14:textId="77777777" w:rsidR="00BC5284" w:rsidRDefault="00BC5284">
      <w:pPr>
        <w:pStyle w:val="TextBulletsPara"/>
      </w:pPr>
      <w:r>
        <w:rPr>
          <w:rStyle w:val="TextBullet"/>
        </w:rPr>
        <w:t>•</w:t>
      </w:r>
      <w:r>
        <w:rPr>
          <w:rStyle w:val="TextBullet"/>
        </w:rPr>
        <w:tab/>
      </w:r>
      <w:r>
        <w:t xml:space="preserve">There is a pressing need for increased direction from the State to better enable councils to both understand and efficiently comply with their responsibilities under the </w:t>
      </w:r>
      <w:r>
        <w:rPr>
          <w:rStyle w:val="TextItalic"/>
          <w:iCs/>
        </w:rPr>
        <w:t>Planning and Environment Act 1987</w:t>
      </w:r>
      <w:r>
        <w:t>. This is in the form of:</w:t>
      </w:r>
    </w:p>
    <w:p w14:paraId="4A8BEB7F" w14:textId="77777777" w:rsidR="00BC5284" w:rsidRDefault="00BC5284" w:rsidP="000339C5">
      <w:pPr>
        <w:pStyle w:val="Text"/>
        <w:ind w:left="560" w:hanging="560"/>
      </w:pPr>
      <w:r>
        <w:tab/>
        <w:t>–</w:t>
      </w:r>
      <w:r>
        <w:tab/>
        <w:t>People able to provide specialist direction: many local government officers feel, rightly or wrongly, that there is no-one to speak to for consistent direction regarding their obligations for protecting and managing local heritage or for advice on how to best protect and manage their local heritage</w:t>
      </w:r>
    </w:p>
    <w:p w14:paraId="74D642FF" w14:textId="77777777" w:rsidR="00BC5284" w:rsidRDefault="00BC5284" w:rsidP="000339C5">
      <w:pPr>
        <w:pStyle w:val="Text"/>
        <w:ind w:left="560" w:hanging="560"/>
      </w:pPr>
      <w:r>
        <w:tab/>
        <w:t>–</w:t>
      </w:r>
      <w:r>
        <w:tab/>
        <w:t xml:space="preserve">A significant update and revamp of existing written guidance: existing documentary guidance to support efficient best-practice local heritage management and protection (e.g. </w:t>
      </w:r>
      <w:r>
        <w:rPr>
          <w:rStyle w:val="TextItalic"/>
          <w:iCs/>
        </w:rPr>
        <w:t>Planning Practice Note 1</w:t>
      </w:r>
      <w:r>
        <w:t>, model brief for heritage studies etc.) is often out of date, hard to find and doesn’t include information required in the current more complex planning environment</w:t>
      </w:r>
    </w:p>
    <w:p w14:paraId="5AD52500" w14:textId="77777777" w:rsidR="00BC5284" w:rsidRDefault="00BC5284" w:rsidP="000339C5">
      <w:pPr>
        <w:pStyle w:val="Text"/>
        <w:ind w:left="560" w:hanging="560"/>
      </w:pPr>
      <w:r>
        <w:tab/>
        <w:t>–</w:t>
      </w:r>
      <w:r>
        <w:tab/>
        <w:t>Facilitation of knowledge sharing and best practice: council planners often operate in isolation with no prior background in heritage and struggle to know what best practice is, where to find the right information/guidance and how to assess the quality of the advice they receive from consultants.</w:t>
      </w:r>
    </w:p>
    <w:p w14:paraId="3DF94E49" w14:textId="77777777" w:rsidR="00BC5284" w:rsidRDefault="00BC5284">
      <w:pPr>
        <w:pStyle w:val="TextBulletsPara"/>
      </w:pPr>
      <w:r>
        <w:rPr>
          <w:rStyle w:val="TextBullet"/>
        </w:rPr>
        <w:t>•</w:t>
      </w:r>
      <w:r>
        <w:rPr>
          <w:rStyle w:val="TextBullet"/>
        </w:rPr>
        <w:tab/>
      </w:r>
      <w:r>
        <w:t>Despite the good work done by the earlier program of State Government funding (which ceased in 2012), a base-level of heritage protection is still to be achieved across the State (4% still to complete heritage studies, nearly 10% still to translate base-level studies into HOs and almost 20% identified geographic gaps in studies).</w:t>
      </w:r>
    </w:p>
    <w:p w14:paraId="203D25D5" w14:textId="77777777" w:rsidR="00BC5284" w:rsidRDefault="00BC5284">
      <w:pPr>
        <w:pStyle w:val="TextBulletsPara"/>
      </w:pPr>
      <w:r>
        <w:rPr>
          <w:rStyle w:val="TextBullet"/>
        </w:rPr>
        <w:t>•</w:t>
      </w:r>
      <w:r>
        <w:rPr>
          <w:rStyle w:val="TextBullet"/>
        </w:rPr>
        <w:tab/>
      </w:r>
      <w:r>
        <w:t>There is a large and ongoing key leadership role for the State to play in setting (and maintaining as things change) direction and expectations, facilitating alignment in approach and best practice across the 79 municipalities, and providing quality and consistent advice.</w:t>
      </w:r>
    </w:p>
    <w:p w14:paraId="64E111A7" w14:textId="77777777" w:rsidR="00BC5284" w:rsidRDefault="00BC5284">
      <w:pPr>
        <w:pStyle w:val="TextBulletsPara"/>
      </w:pPr>
      <w:r>
        <w:rPr>
          <w:rStyle w:val="TextBullet"/>
        </w:rPr>
        <w:t>•</w:t>
      </w:r>
      <w:r>
        <w:rPr>
          <w:rStyle w:val="TextBullet"/>
        </w:rPr>
        <w:tab/>
      </w:r>
      <w:r>
        <w:t xml:space="preserve">Local councils also need to ensure that they are meeting their obligations to conserve heritage places under the </w:t>
      </w:r>
      <w:r>
        <w:rPr>
          <w:rStyle w:val="TextItalic"/>
          <w:iCs/>
        </w:rPr>
        <w:t>Planning and Environment Act 1987</w:t>
      </w:r>
      <w:r>
        <w:t>. Local heritage outcomes are ultimately dependent on council action: completing heritage studies to identify places of local heritage significance and acting to protect them through the planning scheme.</w:t>
      </w:r>
    </w:p>
    <w:p w14:paraId="296F1321" w14:textId="77777777" w:rsidR="00BC5284" w:rsidRDefault="00BC5284">
      <w:pPr>
        <w:pStyle w:val="Text"/>
      </w:pPr>
    </w:p>
    <w:p w14:paraId="253D9C33" w14:textId="77777777" w:rsidR="00BC5284" w:rsidRPr="00924E22" w:rsidRDefault="00924E22" w:rsidP="00924E22">
      <w:pPr>
        <w:pStyle w:val="CaseStudyHeading1"/>
        <w:rPr>
          <w:color w:val="000000"/>
          <w:spacing w:val="0"/>
          <w:sz w:val="32"/>
        </w:rPr>
      </w:pPr>
      <w:r w:rsidRPr="00924E22">
        <w:rPr>
          <w:color w:val="000000"/>
          <w:spacing w:val="0"/>
          <w:sz w:val="32"/>
        </w:rPr>
        <w:t xml:space="preserve">Case Study: </w:t>
      </w:r>
      <w:r w:rsidR="00BC5284" w:rsidRPr="00924E22">
        <w:rPr>
          <w:color w:val="000000"/>
          <w:spacing w:val="0"/>
          <w:sz w:val="32"/>
        </w:rPr>
        <w:t>How to turn it around –</w:t>
      </w:r>
      <w:r w:rsidRPr="00924E22">
        <w:rPr>
          <w:color w:val="000000"/>
          <w:spacing w:val="0"/>
          <w:sz w:val="32"/>
        </w:rPr>
        <w:t xml:space="preserve"> </w:t>
      </w:r>
      <w:r w:rsidR="00BC5284" w:rsidRPr="00924E22">
        <w:rPr>
          <w:color w:val="000000"/>
          <w:spacing w:val="0"/>
          <w:sz w:val="32"/>
        </w:rPr>
        <w:t>Greater Shepparton City Council</w:t>
      </w:r>
    </w:p>
    <w:p w14:paraId="479E27BE" w14:textId="77777777" w:rsidR="00BC5284" w:rsidRDefault="00BC5284">
      <w:pPr>
        <w:pStyle w:val="CaseStudyHeading1"/>
        <w:rPr>
          <w:color w:val="000000"/>
        </w:rPr>
      </w:pPr>
    </w:p>
    <w:tbl>
      <w:tblPr>
        <w:tblW w:w="0" w:type="auto"/>
        <w:tblInd w:w="80" w:type="dxa"/>
        <w:tblLayout w:type="fixed"/>
        <w:tblCellMar>
          <w:left w:w="0" w:type="dxa"/>
          <w:right w:w="0" w:type="dxa"/>
        </w:tblCellMar>
        <w:tblLook w:val="0000" w:firstRow="0" w:lastRow="0" w:firstColumn="0" w:lastColumn="0" w:noHBand="0" w:noVBand="0"/>
      </w:tblPr>
      <w:tblGrid>
        <w:gridCol w:w="2890"/>
      </w:tblGrid>
      <w:tr w:rsidR="00BC5284" w:rsidRPr="00BC5284" w14:paraId="34CCBC82" w14:textId="77777777">
        <w:trPr>
          <w:trHeight w:val="60"/>
        </w:trPr>
        <w:tc>
          <w:tcPr>
            <w:tcW w:w="2890" w:type="dxa"/>
            <w:tcBorders>
              <w:top w:val="single" w:sz="2" w:space="0" w:color="000000"/>
              <w:left w:val="single" w:sz="6" w:space="0" w:color="auto"/>
              <w:bottom w:val="single" w:sz="2" w:space="0" w:color="000000"/>
              <w:right w:val="single" w:sz="6" w:space="0" w:color="auto"/>
            </w:tcBorders>
            <w:tcMar>
              <w:top w:w="80" w:type="dxa"/>
              <w:left w:w="80" w:type="dxa"/>
              <w:bottom w:w="80" w:type="dxa"/>
              <w:right w:w="80" w:type="dxa"/>
            </w:tcMar>
          </w:tcPr>
          <w:p w14:paraId="19678E59" w14:textId="77777777" w:rsidR="00BC5284" w:rsidRPr="00BC5284" w:rsidRDefault="00BC5284">
            <w:pPr>
              <w:pStyle w:val="TableText"/>
            </w:pPr>
            <w:r w:rsidRPr="00BC5284">
              <w:rPr>
                <w:rStyle w:val="TabletextBold"/>
                <w:rFonts w:cs="FreightSans Pro Bold"/>
                <w:bCs/>
              </w:rPr>
              <w:t xml:space="preserve">Classification: </w:t>
            </w:r>
            <w:r w:rsidRPr="00BC5284">
              <w:rPr>
                <w:rStyle w:val="TabletextBold"/>
                <w:rFonts w:ascii="FreightSans Pro Medium" w:hAnsi="FreightSans Pro Medium"/>
                <w:b w:val="0"/>
              </w:rPr>
              <w:t>Rural City</w:t>
            </w:r>
          </w:p>
        </w:tc>
      </w:tr>
      <w:tr w:rsidR="00BC5284" w:rsidRPr="00BC5284" w14:paraId="1E434587" w14:textId="77777777">
        <w:trPr>
          <w:trHeight w:val="60"/>
        </w:trPr>
        <w:tc>
          <w:tcPr>
            <w:tcW w:w="2890" w:type="dxa"/>
            <w:tcBorders>
              <w:top w:val="single" w:sz="2" w:space="0" w:color="000000"/>
              <w:left w:val="single" w:sz="6" w:space="0" w:color="auto"/>
              <w:bottom w:val="single" w:sz="2" w:space="0" w:color="000000"/>
              <w:right w:val="single" w:sz="6" w:space="0" w:color="auto"/>
            </w:tcBorders>
            <w:tcMar>
              <w:top w:w="80" w:type="dxa"/>
              <w:left w:w="80" w:type="dxa"/>
              <w:bottom w:w="80" w:type="dxa"/>
              <w:right w:w="80" w:type="dxa"/>
            </w:tcMar>
          </w:tcPr>
          <w:p w14:paraId="2D688857" w14:textId="77777777" w:rsidR="00BC5284" w:rsidRPr="00BC5284" w:rsidRDefault="00BC5284">
            <w:pPr>
              <w:pStyle w:val="TableText"/>
            </w:pPr>
            <w:r w:rsidRPr="00BC5284">
              <w:rPr>
                <w:rStyle w:val="TabletextBold"/>
                <w:rFonts w:cs="FreightSans Pro Bold"/>
                <w:bCs/>
              </w:rPr>
              <w:t xml:space="preserve">LGA size: </w:t>
            </w:r>
            <w:r w:rsidRPr="00BC5284">
              <w:rPr>
                <w:rStyle w:val="TabletextBold"/>
                <w:rFonts w:ascii="FreightSans Pro Medium" w:hAnsi="FreightSans Pro Medium"/>
                <w:b w:val="0"/>
              </w:rPr>
              <w:t>2,422km</w:t>
            </w:r>
            <w:r w:rsidRPr="00BC5284">
              <w:rPr>
                <w:rStyle w:val="TabletextBold"/>
                <w:rFonts w:ascii="FreightSans Pro Medium" w:hAnsi="FreightSans Pro Medium"/>
                <w:b w:val="0"/>
                <w:vertAlign w:val="superscript"/>
              </w:rPr>
              <w:t>2</w:t>
            </w:r>
          </w:p>
        </w:tc>
      </w:tr>
      <w:tr w:rsidR="00BC5284" w:rsidRPr="00BC5284" w14:paraId="43B14605" w14:textId="77777777">
        <w:trPr>
          <w:trHeight w:val="60"/>
        </w:trPr>
        <w:tc>
          <w:tcPr>
            <w:tcW w:w="2890" w:type="dxa"/>
            <w:tcBorders>
              <w:top w:val="single" w:sz="2" w:space="0" w:color="000000"/>
              <w:left w:val="single" w:sz="6" w:space="0" w:color="auto"/>
              <w:bottom w:val="single" w:sz="2" w:space="0" w:color="000000"/>
              <w:right w:val="single" w:sz="6" w:space="0" w:color="auto"/>
            </w:tcBorders>
            <w:tcMar>
              <w:top w:w="80" w:type="dxa"/>
              <w:left w:w="80" w:type="dxa"/>
              <w:bottom w:w="80" w:type="dxa"/>
              <w:right w:w="80" w:type="dxa"/>
            </w:tcMar>
          </w:tcPr>
          <w:p w14:paraId="15CF104E" w14:textId="77777777" w:rsidR="00BC5284" w:rsidRPr="00BC5284" w:rsidRDefault="00BC5284">
            <w:pPr>
              <w:pStyle w:val="TableText"/>
            </w:pPr>
            <w:r w:rsidRPr="00BC5284">
              <w:rPr>
                <w:rStyle w:val="TabletextBold"/>
                <w:rFonts w:cs="FreightSans Pro Bold"/>
                <w:bCs/>
              </w:rPr>
              <w:t xml:space="preserve">LGA population: </w:t>
            </w:r>
            <w:r w:rsidRPr="00BC5284">
              <w:rPr>
                <w:rStyle w:val="TabletextBold"/>
                <w:rFonts w:ascii="FreightSans Pro Medium" w:hAnsi="FreightSans Pro Medium"/>
                <w:b w:val="0"/>
              </w:rPr>
              <w:t>66,007</w:t>
            </w:r>
          </w:p>
        </w:tc>
      </w:tr>
      <w:tr w:rsidR="00BC5284" w:rsidRPr="00BC5284" w14:paraId="343D4E9E" w14:textId="77777777">
        <w:trPr>
          <w:trHeight w:val="60"/>
        </w:trPr>
        <w:tc>
          <w:tcPr>
            <w:tcW w:w="2890" w:type="dxa"/>
            <w:tcBorders>
              <w:top w:val="single" w:sz="2" w:space="0" w:color="000000"/>
              <w:left w:val="single" w:sz="6" w:space="0" w:color="auto"/>
              <w:bottom w:val="single" w:sz="2" w:space="0" w:color="000000"/>
              <w:right w:val="single" w:sz="6" w:space="0" w:color="auto"/>
            </w:tcBorders>
            <w:tcMar>
              <w:top w:w="80" w:type="dxa"/>
              <w:left w:w="80" w:type="dxa"/>
              <w:bottom w:w="80" w:type="dxa"/>
              <w:right w:w="80" w:type="dxa"/>
            </w:tcMar>
          </w:tcPr>
          <w:p w14:paraId="02D804D0" w14:textId="77777777" w:rsidR="00BC5284" w:rsidRPr="00BC5284" w:rsidRDefault="00BC5284">
            <w:pPr>
              <w:pStyle w:val="TableText"/>
            </w:pPr>
            <w:r w:rsidRPr="00BC5284">
              <w:rPr>
                <w:rStyle w:val="TabletextBold"/>
                <w:rFonts w:cs="FreightSans Pro Bold"/>
                <w:bCs/>
              </w:rPr>
              <w:t xml:space="preserve">Number of HOs: </w:t>
            </w:r>
            <w:r w:rsidRPr="00BC5284">
              <w:rPr>
                <w:rStyle w:val="TabletextBold"/>
                <w:rFonts w:ascii="FreightSans Pro Medium" w:hAnsi="FreightSans Pro Medium"/>
                <w:b w:val="0"/>
              </w:rPr>
              <w:t>378</w:t>
            </w:r>
          </w:p>
        </w:tc>
      </w:tr>
    </w:tbl>
    <w:p w14:paraId="2EFDDFF0" w14:textId="77777777" w:rsidR="00BC5284" w:rsidRDefault="00BC5284">
      <w:pPr>
        <w:pStyle w:val="BasicParagraph"/>
      </w:pPr>
    </w:p>
    <w:p w14:paraId="5C84D12E" w14:textId="77777777" w:rsidR="00BC5284" w:rsidRPr="00103503" w:rsidRDefault="00BC5284">
      <w:pPr>
        <w:pStyle w:val="Intropara"/>
        <w:rPr>
          <w:color w:val="000000"/>
          <w:sz w:val="20"/>
          <w:szCs w:val="20"/>
        </w:rPr>
      </w:pPr>
      <w:r>
        <w:rPr>
          <w:rStyle w:val="TextBold"/>
          <w:b/>
          <w:szCs w:val="20"/>
        </w:rPr>
        <w:t xml:space="preserve">Greater Shepparton City Council is a regional LGA located approximately 180km north of Melbourne. It comprises Shepparton and its surrounds. </w:t>
      </w:r>
      <w:r>
        <w:rPr>
          <w:rStyle w:val="TextBold"/>
          <w:b/>
          <w:szCs w:val="20"/>
        </w:rPr>
        <w:br/>
        <w:t>Over the past decade, Greater Shepparton City Council has embarked on an extensive program to improve the identification, protection, support and communication of local heritage in the municipality.</w:t>
      </w:r>
    </w:p>
    <w:p w14:paraId="6E59A720" w14:textId="77777777" w:rsidR="00BC5284" w:rsidRDefault="00BC5284">
      <w:pPr>
        <w:pStyle w:val="HeadingSubtitle3-CaseStudy"/>
        <w:rPr>
          <w:color w:val="000000"/>
        </w:rPr>
      </w:pPr>
      <w:r>
        <w:rPr>
          <w:color w:val="000000"/>
        </w:rPr>
        <w:t>Issue</w:t>
      </w:r>
    </w:p>
    <w:p w14:paraId="006D7987" w14:textId="77777777" w:rsidR="00BC5284" w:rsidRDefault="00BC5284">
      <w:pPr>
        <w:pStyle w:val="Text-CaseStudy"/>
      </w:pPr>
      <w:r>
        <w:t xml:space="preserve">Shepparton was a place that did not recognise and protect its heritage, despite its history of over 150 years as the agricultural and associated manufacturing centre of the Goulburn Valley. A push to modernise the city in light of the 1960s and 1970s post-war boom saw the loss of many of its historic buildings, including the old Shepparton Post Office in 1973. It was not until the early 2000s that the Council undertook its first heritage studies, the </w:t>
      </w:r>
      <w:r>
        <w:rPr>
          <w:rStyle w:val="CaseStudytextitalics"/>
          <w:iCs/>
        </w:rPr>
        <w:t>City of Greater Shepparton Heritage Study Stage I</w:t>
      </w:r>
      <w:r>
        <w:t xml:space="preserve"> (Soma Design Partnership Pty Ltd, 2001) and </w:t>
      </w:r>
      <w:r>
        <w:rPr>
          <w:rStyle w:val="CaseStudytextitalics"/>
          <w:iCs/>
        </w:rPr>
        <w:t>Stage II</w:t>
      </w:r>
      <w:r>
        <w:t xml:space="preserve"> (Allom Lovell and Associates Pty Ltd, 2004). Council officers recalled that the implementation of these </w:t>
      </w:r>
      <w:r>
        <w:lastRenderedPageBreak/>
        <w:t>studies was a fraught experience, with affected residents questioning why they had to conserve their properties when civic ‘historic’ buildings had consistently been demolished. There was little interest in local heritage.</w:t>
      </w:r>
    </w:p>
    <w:p w14:paraId="02DBF01C" w14:textId="77777777" w:rsidR="00BC5284" w:rsidRDefault="00BC5284">
      <w:pPr>
        <w:pStyle w:val="HeadingSubtitle3-CaseStudy"/>
        <w:rPr>
          <w:color w:val="000000"/>
        </w:rPr>
      </w:pPr>
      <w:r>
        <w:rPr>
          <w:color w:val="000000"/>
        </w:rPr>
        <w:t>Action</w:t>
      </w:r>
    </w:p>
    <w:p w14:paraId="4A972143" w14:textId="77777777" w:rsidR="00BC5284" w:rsidRDefault="00BC5284">
      <w:pPr>
        <w:pStyle w:val="Text-CaseStudy"/>
      </w:pPr>
      <w:r>
        <w:t xml:space="preserve">Greater Shepparton’s turnaround came about in 2010. Driven by the Strategic Planning Team and the Heritage Advisor, the Council undertook the </w:t>
      </w:r>
      <w:r>
        <w:rPr>
          <w:rStyle w:val="CaseStudytextitalics"/>
          <w:iCs/>
        </w:rPr>
        <w:t>City of Greater Shepparton Heritage Study Stage IIB</w:t>
      </w:r>
      <w:r>
        <w:t xml:space="preserve"> (Heritage Concepts Pty Ltd, 2010, revised 2013). This study eventually resulted in the protection of scores of heritage places. It was, however, one recommendation within the study that really turned the tide for local heritage in the LGA: the formation of the Greater Shepparton Heritage Advisory Committee (HAC). </w:t>
      </w:r>
    </w:p>
    <w:p w14:paraId="22E3EA6F" w14:textId="77777777" w:rsidR="00BC5284" w:rsidRDefault="00BC5284">
      <w:pPr>
        <w:pStyle w:val="Text-CaseStudy"/>
      </w:pPr>
      <w:r>
        <w:t>The HAC was established in January 2012. It currently consists of 10 members from various historical societies and cultural groups (including two Aboriginal groups), and up to six members of the community, two councillors, strategic planning staff and Council’s Heritage Advisor. The HAC meets 11 times a year to provide advice to the Council on the identification, conservation, preservation and promotion of places of cultural heritage significance in the municipality. Importantly, the Greater Shepparton HAC has played a key role in many of the heritage improvements since its creation, particularly those around celebrating and promoting local heritage; here the commitment and enthusiasm of the volunteer members has been crucial. The most notable of these are:</w:t>
      </w:r>
    </w:p>
    <w:p w14:paraId="1CA55C73" w14:textId="77777777" w:rsidR="00BC5284" w:rsidRDefault="00BC5284" w:rsidP="000339C5">
      <w:pPr>
        <w:pStyle w:val="Text-CaseStudy"/>
        <w:ind w:left="280" w:hanging="280"/>
      </w:pPr>
      <w:r>
        <w:t>•</w:t>
      </w:r>
      <w:r>
        <w:tab/>
        <w:t>The biennial Greater Shepparton Cultural Heritage Awards event. Established in 2013, the Awards recognise outstanding contributions to cultural heritage conservation, research, education, promotion, interpretation, training and awareness-raising within the LGA.</w:t>
      </w:r>
    </w:p>
    <w:p w14:paraId="0ED85D21" w14:textId="77777777" w:rsidR="00BC5284" w:rsidRDefault="00BC5284" w:rsidP="000339C5">
      <w:pPr>
        <w:pStyle w:val="Text-CaseStudy"/>
        <w:ind w:left="280" w:hanging="280"/>
      </w:pPr>
      <w:r>
        <w:t>•</w:t>
      </w:r>
      <w:r>
        <w:tab/>
        <w:t>The biennial Heritage Lecture, since named the Bruce Wilson Memorial Heritage Lecture, after the former mayor, long-time councillor, history and heritage enthusiast, and inaugural Chair of HAC. Established in 2016, the event sees a distinguished heritage expert invited to present a lecture to the public.</w:t>
      </w:r>
    </w:p>
    <w:p w14:paraId="1D797B0E" w14:textId="77777777" w:rsidR="00BC5284" w:rsidRDefault="00BC5284" w:rsidP="000339C5">
      <w:pPr>
        <w:pStyle w:val="Text-CaseStudy"/>
        <w:ind w:left="280" w:hanging="280"/>
      </w:pPr>
      <w:r>
        <w:t>•</w:t>
      </w:r>
      <w:r>
        <w:tab/>
        <w:t>The biennial Heritage Open Day event. Inspired by Open House Melbourne, the Open Day event was established in 2017 and offers Greater Shepparton residents and tourists the opportunity to visit various heritage places free of charge. Bus and walking tours are also provided free of charge. The 2017 event was so popular that the 2019 Heritage Open Day was expanded to two days, and future events may be held annually.</w:t>
      </w:r>
    </w:p>
    <w:p w14:paraId="5872872D" w14:textId="77777777" w:rsidR="00BC5284" w:rsidRDefault="00BC5284">
      <w:pPr>
        <w:pStyle w:val="Text-CaseStudy"/>
      </w:pPr>
      <w:r>
        <w:t>The Council complements this communication and promotion with a comprehensive section on the council website dedicated to local heritage, and through various media releases and advertising materials. Information about heritage places and events is shared through the Visitor Information Centre, which also offers guided heritage and art tours.</w:t>
      </w:r>
    </w:p>
    <w:p w14:paraId="3CB8A0F0" w14:textId="77777777" w:rsidR="00BC5284" w:rsidRDefault="00BC5284">
      <w:pPr>
        <w:pStyle w:val="Text-CaseStudy"/>
      </w:pPr>
      <w:r>
        <w:t xml:space="preserve">Leading on from the work of the HAC, the Greater Shepparton City Council sought to improve the identification and protection of local heritage. The Council, with strong background research undertaken by HAC members, began preparing the </w:t>
      </w:r>
      <w:r>
        <w:rPr>
          <w:rStyle w:val="CaseStudytextitalics"/>
          <w:iCs/>
        </w:rPr>
        <w:t>City of Greater Shepparton Heritage Study Stage IIC</w:t>
      </w:r>
      <w:r>
        <w:t xml:space="preserve"> (Heritage Concepts Pty Ltd, 2017), which identified places primarily in the rural environment and smaller townships. A total of 178 interim HOs were applied to these places, while permanent controls were sought through Amendment C205. At the time of writing, the amendment was unanimously adopted by the Council in April 2020 and is under active consideration by the Minister for Planning. In 2019, the Council also developed the </w:t>
      </w:r>
      <w:r>
        <w:rPr>
          <w:rStyle w:val="CaseStudytextitalics"/>
          <w:iCs/>
        </w:rPr>
        <w:t>Heritage Strategy 2019</w:t>
      </w:r>
      <w:r>
        <w:t>. The document provides direction to Council for the ongoing work that is required to protect and manage heritage within the LGA. For example, the Strategy provides plans to investigate 20th-century heritage places, particularly those post–World War II, and to develop a thematic environmental history focusing on post-war migration to the region.</w:t>
      </w:r>
    </w:p>
    <w:p w14:paraId="1202FDFE" w14:textId="77777777" w:rsidR="00BC5284" w:rsidRDefault="00BC5284">
      <w:pPr>
        <w:pStyle w:val="Text-CaseStudy"/>
      </w:pPr>
      <w:r>
        <w:t>Coinciding with the 2017 study were efforts to support the owners of local heritage places. The Council, inspired by the HAC, created the Heritage Grants Program, a supportive measure designed to help owners improve the physical condition or appearance of a property within the Heritage Overlay. For the 2017–18 and 2018–19 financial years, the Council grants were worth up to $5,000 for each successful applicant. For 2019–20, the HAC worked with the Council to increase that amount up to $15,000. These grants provide 50% of the cost of works, with grant recipients providing the other 50%. Council officers describe it as ‘one of the best initiatives [they] have ever undertaken’, as it communicates the message that Council is supportive of heritage property owners. The Council has also operated a free heritage advisory service since 2010.</w:t>
      </w:r>
    </w:p>
    <w:p w14:paraId="17D6B4D8" w14:textId="77777777" w:rsidR="00BC5284" w:rsidRDefault="00BC5284">
      <w:pPr>
        <w:pStyle w:val="HeadingSubtitle3-CaseStudy"/>
        <w:rPr>
          <w:color w:val="000000"/>
        </w:rPr>
      </w:pPr>
      <w:r>
        <w:rPr>
          <w:color w:val="000000"/>
        </w:rPr>
        <w:t>Outcome</w:t>
      </w:r>
    </w:p>
    <w:p w14:paraId="22E48575" w14:textId="77777777" w:rsidR="00BC5284" w:rsidRDefault="00BC5284">
      <w:pPr>
        <w:pStyle w:val="Text-CaseStudy"/>
      </w:pPr>
      <w:r>
        <w:t>Greater Shepparton has greatly improved its local heritage management since 2010 and increased awareness of the municipality’s heritage and its value. It has identified and protected a wide variety of heritage, with plans to do even more in the future. It has provided advice and financial support to owners of local heritage places and developed an extensive platform to communicate, promote and celebrate local heritage in the local community and even beyond.</w:t>
      </w:r>
    </w:p>
    <w:p w14:paraId="33E09BD1" w14:textId="77777777" w:rsidR="00BC5284" w:rsidRDefault="00BC5284">
      <w:pPr>
        <w:pStyle w:val="HeadingSubtitle3-CaseStudy"/>
        <w:rPr>
          <w:color w:val="000000"/>
        </w:rPr>
      </w:pPr>
      <w:r>
        <w:rPr>
          <w:color w:val="000000"/>
        </w:rPr>
        <w:t>Lessons</w:t>
      </w:r>
    </w:p>
    <w:p w14:paraId="4AC67140" w14:textId="77777777" w:rsidR="00BC5284" w:rsidRDefault="00BC5284">
      <w:pPr>
        <w:pStyle w:val="Text-CaseStudy"/>
      </w:pPr>
      <w:r>
        <w:lastRenderedPageBreak/>
        <w:t>The Greater Shepparton case highlights that the heritage focus of a council can be changed. Over the past decade, the work of council officers, the Heritage Advisor and volunteers through the HAC has seen Greater Shepparton embrace the importance of its local heritage. It has increased the identification and protection of heritage, and introduced measures to support the custodians of heritage places and celebrate the local heritage of Greater Shepparton. All of these contributions are considered crucial to the integrated best-practice management of local heritage.</w:t>
      </w:r>
    </w:p>
    <w:p w14:paraId="39F3734D" w14:textId="77777777" w:rsidR="00BC5284" w:rsidRDefault="00BC5284">
      <w:pPr>
        <w:pStyle w:val="HeadingSubtitle4-CaseStudyRefs"/>
        <w:rPr>
          <w:color w:val="000000"/>
        </w:rPr>
      </w:pPr>
      <w:r>
        <w:rPr>
          <w:color w:val="000000"/>
        </w:rPr>
        <w:t>References</w:t>
      </w:r>
    </w:p>
    <w:p w14:paraId="4B9B1CA6" w14:textId="77777777" w:rsidR="00BC5284" w:rsidRDefault="00BC5284" w:rsidP="000339C5">
      <w:pPr>
        <w:pStyle w:val="ReferencesText-CaseStudy"/>
        <w:ind w:left="280" w:hanging="280"/>
      </w:pPr>
      <w:r>
        <w:t>•</w:t>
      </w:r>
      <w:r>
        <w:tab/>
        <w:t xml:space="preserve">Allom Lovell and Associates Pty Ltd on behalf of Greater Shepparton City Council 2004, </w:t>
      </w:r>
      <w:r>
        <w:rPr>
          <w:i/>
          <w:iCs/>
        </w:rPr>
        <w:t>City of Greater Shepparton Heritage Study Stage II</w:t>
      </w:r>
      <w:r>
        <w:t>, Greater Shepparton City Council, Shepparton.</w:t>
      </w:r>
    </w:p>
    <w:p w14:paraId="18A6F7AE" w14:textId="77777777" w:rsidR="00BC5284" w:rsidRDefault="00BC5284">
      <w:pPr>
        <w:pStyle w:val="ReferencesText-CaseStudy"/>
      </w:pPr>
      <w:r>
        <w:t>•</w:t>
      </w:r>
      <w:r>
        <w:tab/>
        <w:t xml:space="preserve">Greater Shepparton City Council (2019), </w:t>
      </w:r>
      <w:r>
        <w:rPr>
          <w:i/>
          <w:iCs/>
        </w:rPr>
        <w:t>Heritage Strategy 2019</w:t>
      </w:r>
      <w:r>
        <w:t>, Greater Shepparton City Council, Shepparton.</w:t>
      </w:r>
    </w:p>
    <w:p w14:paraId="58788CDA" w14:textId="77777777" w:rsidR="00BC5284" w:rsidRDefault="00BC5284" w:rsidP="000339C5">
      <w:pPr>
        <w:pStyle w:val="ReferencesText-CaseStudy"/>
        <w:ind w:left="280" w:hanging="280"/>
      </w:pPr>
      <w:r>
        <w:t>•</w:t>
      </w:r>
      <w:r>
        <w:tab/>
        <w:t xml:space="preserve">Heritage Concepts Pty Ltd on behalf of Greater Shepparton City </w:t>
      </w:r>
      <w:r>
        <w:rPr>
          <w:spacing w:val="-2"/>
        </w:rPr>
        <w:t xml:space="preserve">Council 2010, </w:t>
      </w:r>
      <w:r>
        <w:rPr>
          <w:i/>
          <w:iCs/>
          <w:spacing w:val="-2"/>
        </w:rPr>
        <w:t>City of Greater Shepparton Heritage Study Stage IIB</w:t>
      </w:r>
      <w:r>
        <w:rPr>
          <w:spacing w:val="-2"/>
        </w:rPr>
        <w:t>,</w:t>
      </w:r>
      <w:r>
        <w:t xml:space="preserve"> Greater Shepparton City Council, Shepparton.</w:t>
      </w:r>
    </w:p>
    <w:p w14:paraId="23C05B58" w14:textId="77777777" w:rsidR="00BC5284" w:rsidRDefault="00BC5284" w:rsidP="000339C5">
      <w:pPr>
        <w:pStyle w:val="ReferencesText-CaseStudy"/>
        <w:ind w:left="280" w:hanging="280"/>
      </w:pPr>
      <w:r>
        <w:t>•</w:t>
      </w:r>
      <w:r>
        <w:tab/>
        <w:t xml:space="preserve">Heritage Concepts Pty Ltd on behalf of Greater Shepparton City Council 2017, </w:t>
      </w:r>
      <w:r>
        <w:rPr>
          <w:i/>
          <w:iCs/>
          <w:spacing w:val="-2"/>
        </w:rPr>
        <w:t>City of Greater Shepparton Heritage Study Stage IIC,</w:t>
      </w:r>
      <w:r>
        <w:t xml:space="preserve"> Greater Shepparton City Council, Shepparton.</w:t>
      </w:r>
    </w:p>
    <w:p w14:paraId="257CF1C6" w14:textId="77777777" w:rsidR="00BC5284" w:rsidRDefault="00BC5284" w:rsidP="000339C5">
      <w:pPr>
        <w:pStyle w:val="ReferencesText-CaseStudy"/>
        <w:ind w:left="280" w:hanging="280"/>
      </w:pPr>
      <w:r>
        <w:t>•</w:t>
      </w:r>
      <w:r>
        <w:tab/>
      </w:r>
      <w:r>
        <w:rPr>
          <w:spacing w:val="-2"/>
        </w:rPr>
        <w:t>Soma Design Partnership Pty Ltd on behalf of Greater Shepparton</w:t>
      </w:r>
      <w:r>
        <w:t xml:space="preserve"> City Council 2001, </w:t>
      </w:r>
      <w:r>
        <w:rPr>
          <w:i/>
          <w:iCs/>
        </w:rPr>
        <w:t>City of Greater Shepparton Heritage Study Stage I</w:t>
      </w:r>
      <w:r>
        <w:t>, Greater Shepparton City Council, Shepparton.</w:t>
      </w:r>
    </w:p>
    <w:p w14:paraId="4553F240" w14:textId="77777777" w:rsidR="00BC5284" w:rsidRDefault="00BC5284">
      <w:pPr>
        <w:pStyle w:val="ReferencesText-CaseStudy"/>
      </w:pPr>
    </w:p>
    <w:p w14:paraId="4081595E" w14:textId="77777777" w:rsidR="00BC5284" w:rsidRDefault="00BC5284">
      <w:pPr>
        <w:pStyle w:val="ChapterHeading"/>
        <w:rPr>
          <w:color w:val="000000"/>
        </w:rPr>
      </w:pPr>
      <w:r>
        <w:rPr>
          <w:color w:val="000000"/>
        </w:rPr>
        <w:t>4. Recommendations</w:t>
      </w:r>
    </w:p>
    <w:p w14:paraId="3D4E3601" w14:textId="77777777" w:rsidR="00BC5284" w:rsidRDefault="00BC5284">
      <w:pPr>
        <w:pStyle w:val="Intropara"/>
        <w:rPr>
          <w:color w:val="000000"/>
        </w:rPr>
      </w:pPr>
      <w:r>
        <w:rPr>
          <w:color w:val="000000"/>
        </w:rPr>
        <w:t>This chapter contains the key recommendations for improving the local heritage system in Victoria based on the key issues and findings identified in Chapter 3. Rather than proposing three strategic initiatives, as outlined in the Review scope, one major strategic initiative is recommended, which is supported by three principal pillars. While these are outside the Heritage Council’s authority to deliver, they are changes that will best ensure long-term solutions to the key problems identified and reinforce the strengths of the current system. In parallel with these are recommendations for eight smaller practical improvements that are within the remit of the Heritage Council to lead in partnership with DELWP, the National Trust, MAV and representatives from local councils. This chapter also briefly outlines a high-level starting point for a program to showcase and inform both councils and the public about best-practice local heritage management, and the benefits that appreciation and protection of local heritage can offer.</w:t>
      </w:r>
    </w:p>
    <w:p w14:paraId="7C7A8972" w14:textId="77777777" w:rsidR="00BC5284" w:rsidRDefault="00BC5284">
      <w:pPr>
        <w:pStyle w:val="Headingsubtitle1"/>
        <w:rPr>
          <w:color w:val="000000"/>
        </w:rPr>
      </w:pPr>
      <w:r>
        <w:rPr>
          <w:color w:val="000000"/>
        </w:rPr>
        <w:t>4.1 Strategic initiative</w:t>
      </w:r>
    </w:p>
    <w:p w14:paraId="03F7C664" w14:textId="77777777" w:rsidR="00BC5284" w:rsidRDefault="00BC5284">
      <w:pPr>
        <w:pStyle w:val="HeadingSubtitle2"/>
        <w:rPr>
          <w:color w:val="000000"/>
        </w:rPr>
      </w:pPr>
      <w:r>
        <w:rPr>
          <w:color w:val="000000"/>
        </w:rPr>
        <w:t>Revitalisation of the State’s role in providing leadership in the protection and management of local heritage</w:t>
      </w:r>
    </w:p>
    <w:p w14:paraId="53829410" w14:textId="77777777" w:rsidR="00BC5284" w:rsidRDefault="00BC5284">
      <w:pPr>
        <w:pStyle w:val="Text"/>
      </w:pPr>
      <w:r>
        <w:t xml:space="preserve">Local heritage is, like most other aspects of planning, the responsibility of local councils. Thus, local heritage outcomes are ultimately dependent on council action. However, that does not absolve the State Government of any responsibility, as it must ensure that councils observe their responsibilities under the </w:t>
      </w:r>
      <w:r>
        <w:rPr>
          <w:rStyle w:val="TextItalic"/>
          <w:iCs/>
        </w:rPr>
        <w:t>Planning and Environment Act 1987</w:t>
      </w:r>
      <w:r>
        <w:t>. There is an ongoing leadership role for the State Government to play in improving the local heritage system. In analysis of the data, a number of significant issues have become clear:</w:t>
      </w:r>
    </w:p>
    <w:p w14:paraId="53770A52" w14:textId="77777777" w:rsidR="00BC5284" w:rsidRDefault="00BC5284">
      <w:pPr>
        <w:pStyle w:val="Text"/>
      </w:pPr>
    </w:p>
    <w:p w14:paraId="18D3C3D5" w14:textId="77777777" w:rsidR="00BC5284" w:rsidRDefault="00BC5284">
      <w:pPr>
        <w:pStyle w:val="TextBulletsPara"/>
      </w:pPr>
      <w:r>
        <w:rPr>
          <w:rStyle w:val="TextBullet"/>
        </w:rPr>
        <w:t>•</w:t>
      </w:r>
      <w:r>
        <w:rPr>
          <w:rStyle w:val="TextBullet"/>
        </w:rPr>
        <w:tab/>
      </w:r>
      <w:r>
        <w:t xml:space="preserve">there is a gap in dedicated leadership at the State level to ensure that councils understand that heritage is a core component of planning and they are responsible for its identification and protection under the </w:t>
      </w:r>
      <w:r>
        <w:rPr>
          <w:rStyle w:val="TextItalic"/>
          <w:iCs/>
        </w:rPr>
        <w:t>Planning and Environment Act 1987</w:t>
      </w:r>
    </w:p>
    <w:p w14:paraId="0F0C8644" w14:textId="77777777" w:rsidR="00BC5284" w:rsidRDefault="00BC5284">
      <w:pPr>
        <w:pStyle w:val="TextBulletsPara"/>
      </w:pPr>
      <w:r>
        <w:rPr>
          <w:rStyle w:val="TextBullet"/>
        </w:rPr>
        <w:t>•</w:t>
      </w:r>
      <w:r>
        <w:rPr>
          <w:rStyle w:val="TextBullet"/>
        </w:rPr>
        <w:tab/>
      </w:r>
      <w:r>
        <w:t>there is a gap in State-level support to ensure that documents guiding this core identification and protection are developed and consistently updated, and that one-on-one advice and support is available for councils that may need it</w:t>
      </w:r>
    </w:p>
    <w:p w14:paraId="6E87A7E8" w14:textId="77777777" w:rsidR="00BC5284" w:rsidRDefault="00BC5284">
      <w:pPr>
        <w:pStyle w:val="TextBulletsPara"/>
      </w:pPr>
      <w:r>
        <w:rPr>
          <w:rStyle w:val="TextBullet"/>
        </w:rPr>
        <w:t>•</w:t>
      </w:r>
      <w:r>
        <w:rPr>
          <w:rStyle w:val="TextBullet"/>
        </w:rPr>
        <w:tab/>
      </w:r>
      <w:r>
        <w:t xml:space="preserve">a base-level of local heritage protection has not been achieved across the State. </w:t>
      </w:r>
    </w:p>
    <w:p w14:paraId="65415AE0" w14:textId="77777777" w:rsidR="00103503" w:rsidRDefault="00BC5284" w:rsidP="0059510D">
      <w:pPr>
        <w:pStyle w:val="Text"/>
      </w:pPr>
      <w:r>
        <w:t>Three principal pillars are proposed to resolve these issues through a revitalisation and refocusing of the State Government’s leadership role.</w:t>
      </w:r>
    </w:p>
    <w:p w14:paraId="17483D49" w14:textId="77777777" w:rsidR="00BC5284" w:rsidRDefault="00BC5284">
      <w:pPr>
        <w:pStyle w:val="FigureTitleandnumbernounderline"/>
      </w:pPr>
      <w:r>
        <w:t>Figure 4.1  Strategic initiative</w:t>
      </w:r>
    </w:p>
    <w:p w14:paraId="4963E14D" w14:textId="77777777" w:rsidR="00BC5284" w:rsidRDefault="00BC5284">
      <w:pPr>
        <w:pStyle w:val="TableHeading1"/>
        <w:jc w:val="center"/>
        <w:rPr>
          <w:color w:val="000000"/>
        </w:rPr>
      </w:pPr>
      <w:r>
        <w:rPr>
          <w:color w:val="000000"/>
        </w:rPr>
        <w:t xml:space="preserve">Revitalisation of the State’s role in </w:t>
      </w:r>
      <w:r>
        <w:rPr>
          <w:color w:val="000000"/>
        </w:rPr>
        <w:br/>
      </w:r>
      <w:r>
        <w:rPr>
          <w:color w:val="000000"/>
        </w:rPr>
        <w:lastRenderedPageBreak/>
        <w:t>providing leadership in the protection and management of local heritage</w:t>
      </w:r>
    </w:p>
    <w:p w14:paraId="17C72144" w14:textId="77777777" w:rsidR="00BC5284" w:rsidRDefault="00BC5284">
      <w:pPr>
        <w:pStyle w:val="TableHeading1"/>
        <w:jc w:val="center"/>
        <w:rPr>
          <w:color w:val="000000"/>
        </w:rPr>
      </w:pPr>
    </w:p>
    <w:p w14:paraId="4D53DC75" w14:textId="77777777" w:rsidR="00BC5284" w:rsidRDefault="00BC5284">
      <w:pPr>
        <w:pStyle w:val="TableHeading1-Underline"/>
        <w:jc w:val="center"/>
        <w:rPr>
          <w:color w:val="000000"/>
        </w:rPr>
      </w:pPr>
      <w:r>
        <w:rPr>
          <w:color w:val="000000"/>
        </w:rPr>
        <w:t>PILLAR 1</w:t>
      </w:r>
    </w:p>
    <w:p w14:paraId="253D5B88" w14:textId="77777777" w:rsidR="00BC5284" w:rsidRDefault="00BC5284">
      <w:pPr>
        <w:pStyle w:val="TableHeading1"/>
        <w:jc w:val="center"/>
        <w:rPr>
          <w:color w:val="000000"/>
        </w:rPr>
      </w:pPr>
      <w:r>
        <w:rPr>
          <w:color w:val="000000"/>
        </w:rPr>
        <w:t>Dedicated local heritage roles</w:t>
      </w:r>
    </w:p>
    <w:p w14:paraId="3DED40E1" w14:textId="77777777" w:rsidR="000339C5" w:rsidRDefault="000339C5" w:rsidP="000339C5">
      <w:pPr>
        <w:pStyle w:val="TableHeading1"/>
        <w:rPr>
          <w:rStyle w:val="TextBold"/>
          <w:rFonts w:ascii="FreightSans Pro Bold" w:hAnsi="FreightSans Pro Bold"/>
          <w:b/>
          <w:sz w:val="19"/>
        </w:rPr>
      </w:pPr>
      <w:r>
        <w:rPr>
          <w:rStyle w:val="TextBold"/>
          <w:rFonts w:ascii="FreightSans Pro Bold" w:hAnsi="FreightSans Pro Bold"/>
          <w:b/>
          <w:sz w:val="19"/>
        </w:rPr>
        <w:t>Dedicated roles to provide necessary focused leadership, direction and advice on local heritage protection and management</w:t>
      </w:r>
    </w:p>
    <w:p w14:paraId="51DED4B9" w14:textId="77777777" w:rsidR="00BC5284" w:rsidRDefault="00BC5284">
      <w:pPr>
        <w:pStyle w:val="TableHeading1"/>
        <w:jc w:val="center"/>
        <w:rPr>
          <w:color w:val="000000"/>
        </w:rPr>
      </w:pPr>
    </w:p>
    <w:p w14:paraId="6C93A701" w14:textId="77777777" w:rsidR="00BC5284" w:rsidRDefault="00BC5284">
      <w:pPr>
        <w:pStyle w:val="TableHeading1-Underline"/>
        <w:jc w:val="center"/>
        <w:rPr>
          <w:color w:val="000000"/>
        </w:rPr>
      </w:pPr>
      <w:r>
        <w:rPr>
          <w:color w:val="000000"/>
        </w:rPr>
        <w:t>PILLAR 2</w:t>
      </w:r>
    </w:p>
    <w:p w14:paraId="777ABD7B" w14:textId="77777777" w:rsidR="000339C5" w:rsidRDefault="00BC5284" w:rsidP="000339C5">
      <w:pPr>
        <w:pStyle w:val="TableHeading1"/>
        <w:rPr>
          <w:rStyle w:val="TextBold"/>
          <w:rFonts w:ascii="FreightSans Pro Bold" w:hAnsi="FreightSans Pro Bold"/>
          <w:b/>
          <w:sz w:val="19"/>
        </w:rPr>
      </w:pPr>
      <w:r>
        <w:rPr>
          <w:color w:val="000000"/>
        </w:rPr>
        <w:t>Clear and consistent guidance material</w:t>
      </w:r>
      <w:r w:rsidR="000339C5" w:rsidRPr="000339C5">
        <w:rPr>
          <w:rStyle w:val="TextBold"/>
          <w:rFonts w:ascii="FreightSans Pro Bold" w:hAnsi="FreightSans Pro Bold"/>
          <w:b/>
          <w:sz w:val="19"/>
        </w:rPr>
        <w:t xml:space="preserve"> </w:t>
      </w:r>
      <w:r w:rsidR="000339C5">
        <w:rPr>
          <w:rStyle w:val="TextBold"/>
          <w:rFonts w:ascii="FreightSans Pro Bold" w:hAnsi="FreightSans Pro Bold"/>
          <w:b/>
          <w:sz w:val="19"/>
        </w:rPr>
        <w:t>Create and maintain a centralised, up-to-date repository of guidance material that provides a clear framework for local councils on expectations and efficient best-practice local heritage management</w:t>
      </w:r>
    </w:p>
    <w:p w14:paraId="3AC41C15" w14:textId="77777777" w:rsidR="00BC5284" w:rsidRDefault="00BC5284">
      <w:pPr>
        <w:pStyle w:val="TableHeading1"/>
        <w:jc w:val="center"/>
        <w:rPr>
          <w:color w:val="000000"/>
        </w:rPr>
      </w:pPr>
    </w:p>
    <w:p w14:paraId="107629F9" w14:textId="77777777" w:rsidR="00BC5284" w:rsidRDefault="00BC5284">
      <w:pPr>
        <w:pStyle w:val="TableHeading1-Underline"/>
        <w:jc w:val="center"/>
        <w:rPr>
          <w:color w:val="000000"/>
        </w:rPr>
      </w:pPr>
      <w:r>
        <w:rPr>
          <w:color w:val="000000"/>
        </w:rPr>
        <w:t>PILLAR 3</w:t>
      </w:r>
    </w:p>
    <w:p w14:paraId="2034EEDB" w14:textId="77777777" w:rsidR="00BC5284" w:rsidRDefault="00BC5284">
      <w:pPr>
        <w:pStyle w:val="TableHeading1"/>
        <w:jc w:val="center"/>
        <w:rPr>
          <w:color w:val="000000"/>
        </w:rPr>
      </w:pPr>
      <w:r>
        <w:rPr>
          <w:color w:val="000000"/>
        </w:rPr>
        <w:t>Direct support to achieve State-wide base-level protection</w:t>
      </w:r>
    </w:p>
    <w:p w14:paraId="29BC0048" w14:textId="77777777" w:rsidR="000339C5" w:rsidRDefault="000339C5" w:rsidP="000339C5">
      <w:pPr>
        <w:pStyle w:val="TableHeading1"/>
        <w:rPr>
          <w:rStyle w:val="TextBold"/>
          <w:rFonts w:ascii="FreightSans Pro Bold" w:hAnsi="FreightSans Pro Bold"/>
          <w:b/>
          <w:sz w:val="19"/>
        </w:rPr>
      </w:pPr>
      <w:r>
        <w:rPr>
          <w:rStyle w:val="TextBold"/>
          <w:rFonts w:ascii="FreightSans Pro Bold" w:hAnsi="FreightSans Pro Bold"/>
          <w:b/>
          <w:sz w:val="19"/>
        </w:rPr>
        <w:t>Direct, short-term support and assistance to ensure base-level studies are completed and translated into the planning scheme</w:t>
      </w:r>
    </w:p>
    <w:p w14:paraId="2C6390E4" w14:textId="77777777" w:rsidR="00BC5284" w:rsidRDefault="00BC5284">
      <w:pPr>
        <w:pStyle w:val="TableHeading1"/>
        <w:jc w:val="center"/>
        <w:rPr>
          <w:color w:val="000000"/>
        </w:rPr>
      </w:pPr>
    </w:p>
    <w:p w14:paraId="02BA404A" w14:textId="77777777" w:rsidR="00BC5284" w:rsidRDefault="00EC1C86">
      <w:pPr>
        <w:pStyle w:val="HeadingSubtitle3-Pillars"/>
        <w:rPr>
          <w:color w:val="000000"/>
        </w:rPr>
      </w:pPr>
      <w:r>
        <w:rPr>
          <w:color w:val="000000"/>
        </w:rPr>
        <w:t xml:space="preserve">PILLAR 1 – </w:t>
      </w:r>
      <w:r w:rsidR="00BC5284">
        <w:rPr>
          <w:color w:val="000000"/>
        </w:rPr>
        <w:t>Dedicated local heritage roles</w:t>
      </w:r>
    </w:p>
    <w:p w14:paraId="3E4118F8" w14:textId="77777777" w:rsidR="00BC5284" w:rsidRDefault="00BC5284">
      <w:pPr>
        <w:pStyle w:val="Text"/>
      </w:pPr>
      <w:r>
        <w:t>The most effective way to provide a long-term solution to the issues of councils being unaware or overwhelmed by their obligations regarding the protection and management of local heritage or not being confident of how best to approach this is through the establishment of dedicated roles within DELWP to provide consistent leadership, direction and planning advice for local heritage matters. This was a suggestion that appeared in the survey feedback and was one that workshop participants overwhelmingly supported, noting that such a role currently exists within Heritage Tasmania.</w:t>
      </w:r>
    </w:p>
    <w:p w14:paraId="6267C3E0" w14:textId="77777777" w:rsidR="00BC5284" w:rsidRDefault="00BC5284">
      <w:pPr>
        <w:pStyle w:val="Text"/>
      </w:pPr>
      <w:r>
        <w:t xml:space="preserve">DELWP Planning is the logical location for such roles, as it is concerned with administering the </w:t>
      </w:r>
      <w:r>
        <w:rPr>
          <w:rStyle w:val="TextItalic"/>
          <w:iCs/>
        </w:rPr>
        <w:t>Planning and Environment Act 1987</w:t>
      </w:r>
      <w:r>
        <w:t xml:space="preserve">. The exact details of the roles should be determined by DELWP but it is recommended that they sit within one of the core Planning teams tasked with local heritage oversight and responsibilities under the </w:t>
      </w:r>
      <w:r>
        <w:rPr>
          <w:rStyle w:val="TextItalic"/>
          <w:iCs/>
        </w:rPr>
        <w:t>Planning and Environment Act 1987</w:t>
      </w:r>
      <w:r>
        <w:t>. The advantages of positioning the new roles with DELWP Planning is that heritage matters would be better integrated within the State Government’s local planning considerations and there would be a consistent approach to advice and guidance across the Department.</w:t>
      </w:r>
    </w:p>
    <w:p w14:paraId="41D25ACA" w14:textId="77777777" w:rsidR="00BC5284" w:rsidRDefault="00BC5284">
      <w:pPr>
        <w:pStyle w:val="Text"/>
      </w:pPr>
      <w:r>
        <w:t>At a high-level, the responsibilities of the roles would be to provide consistent leadership, direction and advice, not just to councils but also within DELWP, to ensure heritage considerations are visible and treated as a core component of planning. While the roles’ immediate priorities would be to facilitate the delivery of the other two pillars, its long-term goals would also include activities, such as:</w:t>
      </w:r>
    </w:p>
    <w:p w14:paraId="3DF1DF3C" w14:textId="77777777" w:rsidR="00BC5284" w:rsidRDefault="00BC5284">
      <w:pPr>
        <w:pStyle w:val="TextBulletsPara"/>
      </w:pPr>
      <w:r>
        <w:rPr>
          <w:rStyle w:val="TextBullet"/>
        </w:rPr>
        <w:t>•</w:t>
      </w:r>
      <w:r>
        <w:rPr>
          <w:rStyle w:val="TextBullet"/>
        </w:rPr>
        <w:tab/>
      </w:r>
      <w:r>
        <w:t>providing consistent advice to councils</w:t>
      </w:r>
    </w:p>
    <w:p w14:paraId="030DD133" w14:textId="77777777" w:rsidR="00BC5284" w:rsidRDefault="00BC5284">
      <w:pPr>
        <w:pStyle w:val="TextBulletsPara"/>
      </w:pPr>
      <w:r>
        <w:rPr>
          <w:rStyle w:val="TextBullet"/>
        </w:rPr>
        <w:t>•</w:t>
      </w:r>
      <w:r>
        <w:rPr>
          <w:rStyle w:val="TextBullet"/>
        </w:rPr>
        <w:tab/>
      </w:r>
      <w:r>
        <w:t>building positive relationships with council executives and management to better facilitate constructive conversations about local heritage recognition and protection, and how they can support economic growth</w:t>
      </w:r>
    </w:p>
    <w:p w14:paraId="441F412F" w14:textId="77777777" w:rsidR="00BC5284" w:rsidRDefault="00BC5284">
      <w:pPr>
        <w:pStyle w:val="TextBulletsPara"/>
      </w:pPr>
      <w:r>
        <w:rPr>
          <w:rStyle w:val="TextBullet"/>
        </w:rPr>
        <w:t>•</w:t>
      </w:r>
      <w:r>
        <w:rPr>
          <w:rStyle w:val="TextBullet"/>
        </w:rPr>
        <w:tab/>
      </w:r>
      <w:r>
        <w:t>providing regular communication of State planning policy in relation to heritage</w:t>
      </w:r>
    </w:p>
    <w:p w14:paraId="7E146FA1" w14:textId="77777777" w:rsidR="00BC5284" w:rsidRDefault="00BC5284">
      <w:pPr>
        <w:pStyle w:val="TextBulletsPara"/>
      </w:pPr>
      <w:r>
        <w:rPr>
          <w:rStyle w:val="TextBullet"/>
        </w:rPr>
        <w:t>•</w:t>
      </w:r>
      <w:r>
        <w:rPr>
          <w:rStyle w:val="TextBullet"/>
        </w:rPr>
        <w:tab/>
      </w:r>
      <w:r>
        <w:t>drafting heritage controls</w:t>
      </w:r>
    </w:p>
    <w:p w14:paraId="710B763C" w14:textId="77777777" w:rsidR="00BC5284" w:rsidRDefault="00BC5284">
      <w:pPr>
        <w:pStyle w:val="TextBulletsPara"/>
      </w:pPr>
      <w:r>
        <w:rPr>
          <w:rStyle w:val="TextBullet"/>
        </w:rPr>
        <w:t>•</w:t>
      </w:r>
      <w:r>
        <w:rPr>
          <w:rStyle w:val="TextBullet"/>
        </w:rPr>
        <w:tab/>
      </w:r>
      <w:r>
        <w:t>provide training sessions to councils and within DELWP to ensure a consistent understanding of best practice, and on new policy and guidance</w:t>
      </w:r>
    </w:p>
    <w:p w14:paraId="5FC3DAA6" w14:textId="77777777" w:rsidR="00BC5284" w:rsidRDefault="00BC5284">
      <w:pPr>
        <w:pStyle w:val="TextBulletsPara"/>
      </w:pPr>
      <w:r>
        <w:rPr>
          <w:rStyle w:val="TextBullet"/>
        </w:rPr>
        <w:t>•</w:t>
      </w:r>
      <w:r>
        <w:rPr>
          <w:rStyle w:val="TextBullet"/>
        </w:rPr>
        <w:tab/>
      </w:r>
      <w:r>
        <w:t>achieving better integration of local heritage into other aspects of planning, e.g. structure planning and urban design</w:t>
      </w:r>
    </w:p>
    <w:p w14:paraId="77A80012" w14:textId="77777777" w:rsidR="00BC5284" w:rsidRDefault="00BC5284">
      <w:pPr>
        <w:pStyle w:val="TextBulletsPara"/>
      </w:pPr>
      <w:r>
        <w:rPr>
          <w:rStyle w:val="TextBullet"/>
        </w:rPr>
        <w:t>•</w:t>
      </w:r>
      <w:r>
        <w:rPr>
          <w:rStyle w:val="TextBullet"/>
        </w:rPr>
        <w:tab/>
      </w:r>
      <w:r>
        <w:t>demonstrating how heritage is compatible with urban and regional growth</w:t>
      </w:r>
    </w:p>
    <w:p w14:paraId="0317B6B7" w14:textId="77777777" w:rsidR="00BC5284" w:rsidRDefault="00BC5284">
      <w:pPr>
        <w:pStyle w:val="TextBulletsPara"/>
      </w:pPr>
      <w:r>
        <w:rPr>
          <w:rStyle w:val="TextBullet"/>
        </w:rPr>
        <w:t>•</w:t>
      </w:r>
      <w:r>
        <w:rPr>
          <w:rStyle w:val="TextBullet"/>
        </w:rPr>
        <w:tab/>
      </w:r>
      <w:r>
        <w:t>advising councils on how to establish supportive measures.</w:t>
      </w:r>
    </w:p>
    <w:p w14:paraId="3FC94DD7" w14:textId="77777777" w:rsidR="00BC5284" w:rsidRDefault="00EC1C86">
      <w:pPr>
        <w:pStyle w:val="HeadingSubtitle3-Pillars"/>
        <w:rPr>
          <w:color w:val="000000"/>
        </w:rPr>
      </w:pPr>
      <w:r>
        <w:rPr>
          <w:color w:val="000000"/>
        </w:rPr>
        <w:t xml:space="preserve">PILLAR 2 – </w:t>
      </w:r>
      <w:r w:rsidR="00BC5284">
        <w:rPr>
          <w:color w:val="000000"/>
        </w:rPr>
        <w:t>Clear and consistent guidance material</w:t>
      </w:r>
    </w:p>
    <w:p w14:paraId="28BC1643" w14:textId="77777777" w:rsidR="00BC5284" w:rsidRDefault="00BC5284">
      <w:pPr>
        <w:pStyle w:val="Text"/>
      </w:pPr>
      <w:r>
        <w:lastRenderedPageBreak/>
        <w:t>The most effective way to provide a long-term solution to the issue of a lack of documents guiding the core identification and protection of local heritage is through the creation and regular updating of a centralised repository of guidance material. This will provide a clear framework for local councils on expectations and efficient best-practice local heritage management. This suggestion appeared in the survey feedback and was strongly supported in the workshops.</w:t>
      </w:r>
    </w:p>
    <w:p w14:paraId="52AEDB0F" w14:textId="77777777" w:rsidR="00BC5284" w:rsidRDefault="00BC5284">
      <w:pPr>
        <w:pStyle w:val="Text"/>
      </w:pPr>
      <w:r>
        <w:t>At a high-level, the new local heritage roles would create and maintain this centralised repository of guidance material. The immediate priorities would be the creation of this repository and consolidating the guidance that already exists. The medium-term priorities would be to update the existing guidance material, such as the Planning Practice Note 1 and the Model Consultants Brief, maintaining and promoting good examples and exemplars, and creating material for identified gaps, such as:</w:t>
      </w:r>
    </w:p>
    <w:p w14:paraId="1916BCAC" w14:textId="77777777" w:rsidR="00BC5284" w:rsidRDefault="00BC5284">
      <w:pPr>
        <w:pStyle w:val="TextBulletsPara"/>
      </w:pPr>
      <w:r>
        <w:rPr>
          <w:rStyle w:val="TextBullet"/>
        </w:rPr>
        <w:t>•</w:t>
      </w:r>
      <w:r>
        <w:rPr>
          <w:rStyle w:val="TextBullet"/>
        </w:rPr>
        <w:tab/>
      </w:r>
      <w:r>
        <w:t>an agreed minimum level of documentation needed to apply the HO</w:t>
      </w:r>
    </w:p>
    <w:p w14:paraId="1850CD61" w14:textId="77777777" w:rsidR="00BC5284" w:rsidRDefault="00BC5284">
      <w:pPr>
        <w:pStyle w:val="TextBulletsPara"/>
      </w:pPr>
      <w:r>
        <w:rPr>
          <w:rStyle w:val="TextBullet"/>
        </w:rPr>
        <w:t>•</w:t>
      </w:r>
      <w:r>
        <w:rPr>
          <w:rStyle w:val="TextBullet"/>
        </w:rPr>
        <w:tab/>
      </w:r>
      <w:r>
        <w:t>local threshold guidelines, similar to those for State heritage</w:t>
      </w:r>
    </w:p>
    <w:p w14:paraId="6EE3D33C" w14:textId="77777777" w:rsidR="00BC5284" w:rsidRDefault="00BC5284">
      <w:pPr>
        <w:pStyle w:val="TextBulletsPara"/>
      </w:pPr>
      <w:r>
        <w:rPr>
          <w:rStyle w:val="TextBullet"/>
        </w:rPr>
        <w:t>•</w:t>
      </w:r>
      <w:r>
        <w:rPr>
          <w:rStyle w:val="TextBullet"/>
        </w:rPr>
        <w:tab/>
      </w:r>
      <w:r>
        <w:t>heritage design guidelines, similar to those for urban design.</w:t>
      </w:r>
    </w:p>
    <w:p w14:paraId="352B8C33" w14:textId="77777777" w:rsidR="00BC5284" w:rsidRDefault="00EC1C86">
      <w:pPr>
        <w:pStyle w:val="HeadingSubtitle3-Pillars"/>
        <w:rPr>
          <w:color w:val="000000"/>
        </w:rPr>
      </w:pPr>
      <w:r>
        <w:rPr>
          <w:color w:val="000000"/>
        </w:rPr>
        <w:t xml:space="preserve">PILLAR 3 – </w:t>
      </w:r>
      <w:r w:rsidR="00BC5284">
        <w:rPr>
          <w:color w:val="000000"/>
        </w:rPr>
        <w:t>Direct support to achieve State-wide base-level protection</w:t>
      </w:r>
    </w:p>
    <w:p w14:paraId="62AE4D7A" w14:textId="77777777" w:rsidR="00BC5284" w:rsidRDefault="00BC5284">
      <w:pPr>
        <w:pStyle w:val="Text"/>
      </w:pPr>
      <w:r>
        <w:t xml:space="preserve">The previous funding program for heritage studies was based on a clear objective of ensuring that all councils identified and protected a base-level of heritage within their LGA. However, the reality is that until all councils have done so it cannot be claimed that an appropriate level of local heritage is protected across Victoria. Without such protection, irreplaceable links to the history of local areas may be lost. It is crucial that every council has an appropriate base-level of their heritage identified and protected. It is clear that some sort of direct support will be required to achieve this State-wide protection. </w:t>
      </w:r>
    </w:p>
    <w:p w14:paraId="53DF3010" w14:textId="77777777" w:rsidR="00BC5284" w:rsidRDefault="00BC5284">
      <w:pPr>
        <w:pStyle w:val="Text"/>
      </w:pPr>
      <w:r>
        <w:t xml:space="preserve">At a high-level, the new local heritage roles would provide support to councils to undertake and implement base-level heritage studies. Support could take the form of personalised advice (pillar 1) or improvements to guidance material to make completing heritage studies simpler (pillar 2). However, it is acknowledged that some councils, particularly rural councils, lack the resources necessary to undertake and implement heritage studies. The State Government may need to provide some funding to the nearly 4% of councils who have yet to undertake a stage two heritage study. A mix of funding or direct support (e.g. the reintroduction of a ‘flying squad’ to complete planning scheme amendments) may be needed to help the nearly 10% of councils that have completed a base-level heritage study but have not yet translated it into the HO. It is also acknowledged that some councils are not undertaking and implementing heritage studies due to a lack of political will. Where councils do not meet their obligations to conserve heritage under the </w:t>
      </w:r>
      <w:r>
        <w:rPr>
          <w:rStyle w:val="TextItalic"/>
          <w:iCs/>
        </w:rPr>
        <w:t>Planning and Environment Act 1987</w:t>
      </w:r>
      <w:r>
        <w:t xml:space="preserve"> and cooperation to rectify this cannot be achieved, the State Government should consider options to hold them accountable and remedy the situation. </w:t>
      </w:r>
    </w:p>
    <w:p w14:paraId="3443C17C" w14:textId="77777777" w:rsidR="00BC5284" w:rsidRDefault="00BC5284">
      <w:pPr>
        <w:pStyle w:val="Headingsubtitle1"/>
        <w:rPr>
          <w:color w:val="000000"/>
        </w:rPr>
      </w:pPr>
      <w:r>
        <w:rPr>
          <w:color w:val="000000"/>
        </w:rPr>
        <w:t>4.2 Practical improvements</w:t>
      </w:r>
    </w:p>
    <w:p w14:paraId="26628C90" w14:textId="77777777" w:rsidR="00BC5284" w:rsidRDefault="00BC5284">
      <w:pPr>
        <w:pStyle w:val="Text"/>
      </w:pPr>
      <w:r>
        <w:t xml:space="preserve">Following are recommendations for eight smaller initiatives or ‘practical improvements’ to develop solutions to a number of issues raised during the Review. As many of these relate to promoting understanding of cultural heritage or furthering past projects of the Heritage Councils, they broadly fall within the remit of the Heritage Council to lead under section 11(1) of the </w:t>
      </w:r>
      <w:r>
        <w:rPr>
          <w:rStyle w:val="TextItalic"/>
          <w:iCs/>
        </w:rPr>
        <w:t>Heritage Act 2017</w:t>
      </w:r>
      <w:r>
        <w:t>, in partnership with DELWP, the National Trust, MAV and representatives from local councils.</w:t>
      </w:r>
    </w:p>
    <w:p w14:paraId="2DB733F9" w14:textId="77777777" w:rsidR="00BC5284" w:rsidRDefault="00EC1C86">
      <w:pPr>
        <w:pStyle w:val="HeadingSubtitle3-PI1-red"/>
        <w:rPr>
          <w:color w:val="000000"/>
        </w:rPr>
      </w:pPr>
      <w:r>
        <w:rPr>
          <w:color w:val="000000"/>
        </w:rPr>
        <w:t xml:space="preserve">Practical improvement 1 – </w:t>
      </w:r>
      <w:r w:rsidR="00BC5284">
        <w:rPr>
          <w:color w:val="000000"/>
        </w:rPr>
        <w:t>Develop a ‘demolition by neglect’ model local law</w:t>
      </w:r>
    </w:p>
    <w:p w14:paraId="6851B21E" w14:textId="77777777" w:rsidR="00BC5284" w:rsidRDefault="00BC5284">
      <w:pPr>
        <w:pStyle w:val="Text"/>
      </w:pPr>
      <w:r>
        <w:t>Recent media stories, as well as information gathered during the Review, confirm that the inability to require maintenance of local heritage places and prevent ‘demolition by neglect’ is a key concern for both the public and councils. In 2014, the Heritage Council commissioned the National Trust to undertake a ‘lab’ (workshop) on ‘demolition by neglect’. The lab reached a consensus that a local law was the most appropriate way to deal with the issue and proposed to draft a model local law that could be used as a starting point by all councils throughout Victoria. Since this time, Ballarat and Greater Geelong City councils have implemented their own local laws, demonstrating that this approach is valid and that a local law to address the issue is possible. It is recommended that the Heritage Council progresses the outcomes of the National Trust Lab on ‘demolition by neglect’, including the evaluation of the effectiveness of local laws in Ballarat and Greater Geelong, so that a model local law can be created and distributed, and training be provided on how it can be used.</w:t>
      </w:r>
    </w:p>
    <w:p w14:paraId="212B20DC" w14:textId="77777777" w:rsidR="00BC5284" w:rsidRDefault="00EC1C86">
      <w:pPr>
        <w:pStyle w:val="HeadingSubtitle3-PI1-red"/>
        <w:rPr>
          <w:color w:val="000000"/>
        </w:rPr>
      </w:pPr>
      <w:r>
        <w:rPr>
          <w:color w:val="000000"/>
        </w:rPr>
        <w:t xml:space="preserve">Practical improvement 2 – </w:t>
      </w:r>
      <w:r w:rsidR="00BC5284">
        <w:rPr>
          <w:color w:val="000000"/>
        </w:rPr>
        <w:t>Create ‘Heritage 101’ information pack for councils and the public</w:t>
      </w:r>
    </w:p>
    <w:p w14:paraId="0E986A59" w14:textId="77777777" w:rsidR="00BC5284" w:rsidRDefault="00BC5284">
      <w:pPr>
        <w:pStyle w:val="Text"/>
      </w:pPr>
      <w:r>
        <w:t xml:space="preserve">Sitting at the heart of many of the issues raised during the Review is a lack of up-to-date, easy-to-find information, and misinformation, about what is heritage, how the heritage system works, the different roles of State and local authorities, the implications of heritage listing and the benefits of heritage protection. Whilst a few councils have filled this gap by creating their </w:t>
      </w:r>
      <w:r>
        <w:lastRenderedPageBreak/>
        <w:t>own documents, it makes sense to have a consistent message and language used across the State. It is recommended that the Heritage Council create a ‘Heritage 101’ pack, in print (e.g. brochures) and/or online, to educate and inform both councils and the public about the basics of local heritage and the benefits of local heritage protection. The information should be presented graphically as much as possible and use positive language, i.e. focusing as much on what can be done, as opposed to what cannot.</w:t>
      </w:r>
    </w:p>
    <w:p w14:paraId="08348452" w14:textId="77777777" w:rsidR="00BC5284" w:rsidRDefault="00EC1C86">
      <w:pPr>
        <w:pStyle w:val="HeadingSubtitle3-PI1-red"/>
        <w:rPr>
          <w:color w:val="000000"/>
        </w:rPr>
      </w:pPr>
      <w:r>
        <w:rPr>
          <w:color w:val="000000"/>
        </w:rPr>
        <w:t xml:space="preserve">Practical improvement 3 – </w:t>
      </w:r>
      <w:r w:rsidR="00BC5284">
        <w:rPr>
          <w:color w:val="000000"/>
        </w:rPr>
        <w:t>Create ‘Heritage 101’ induction pack for new councillors</w:t>
      </w:r>
    </w:p>
    <w:p w14:paraId="61C4E2CD" w14:textId="77777777" w:rsidR="00BC5284" w:rsidRDefault="00BC5284">
      <w:pPr>
        <w:pStyle w:val="Text"/>
      </w:pPr>
      <w:r>
        <w:t>Issues were raised about councillors not being informed about or interested in the importance of local heritage and their responsibilities to ensure its protection, resulting in important heritage work not being undertaken or progressing. It is recommended that Heritage Council work with the MAV to create a Heritage 101 pack for new councillors, to provide relevant information on the basics of heritage and their obligations. This should be clear and concise, as new councillors have a number of responsibilities and have to get across a range of issues when they start their terms.</w:t>
      </w:r>
    </w:p>
    <w:p w14:paraId="593DC855" w14:textId="77777777" w:rsidR="00BC5284" w:rsidRDefault="00EC1C86">
      <w:pPr>
        <w:pStyle w:val="HeadingSubtitle3-PI1-red"/>
        <w:rPr>
          <w:color w:val="000000"/>
        </w:rPr>
      </w:pPr>
      <w:r>
        <w:rPr>
          <w:color w:val="000000"/>
        </w:rPr>
        <w:t xml:space="preserve">Practical improvement 4 – </w:t>
      </w:r>
      <w:r w:rsidR="00BC5284">
        <w:rPr>
          <w:color w:val="000000"/>
        </w:rPr>
        <w:t>Facilitate discussions to clarify demolition application processes</w:t>
      </w:r>
    </w:p>
    <w:p w14:paraId="323B5A5E" w14:textId="77777777" w:rsidR="00BC5284" w:rsidRDefault="00BC5284">
      <w:pPr>
        <w:pStyle w:val="Text"/>
      </w:pPr>
      <w:r>
        <w:t xml:space="preserve">Recent media stories, as well as information gathered during the Review, confirm that the management of the demolition of places of potential heritage significance is a key concern for councils. DELWP has done work on this but the feedback from participants is that there is still confusion, particularly around the council processes to </w:t>
      </w:r>
      <w:r>
        <w:rPr>
          <w:spacing w:val="-2"/>
        </w:rPr>
        <w:t>best manage it. While recommendations relating to planning</w:t>
      </w:r>
      <w:r>
        <w:t xml:space="preserve"> processes are out of the scope of this Review, there is a clear need for an improvement to the process of applying interim HOs and managing demolition applications under Section 29A of the </w:t>
      </w:r>
      <w:r>
        <w:rPr>
          <w:rStyle w:val="TextItalic"/>
          <w:iCs/>
        </w:rPr>
        <w:t>Building Act 1993</w:t>
      </w:r>
      <w:r>
        <w:t>. There is a role for the Heritage Council to act as a facilitator for development of such improvements. It is recommended the Heritage Council facilitates discussions with its LGSC and DELWP officers to address concerns and clarity around the demolition application process and how best to manage it.</w:t>
      </w:r>
    </w:p>
    <w:p w14:paraId="2A069ACC" w14:textId="77777777" w:rsidR="00BC5284" w:rsidRDefault="00EC1C86">
      <w:pPr>
        <w:pStyle w:val="HeadingSubtitle3-PI1-red"/>
        <w:rPr>
          <w:color w:val="000000"/>
        </w:rPr>
      </w:pPr>
      <w:r>
        <w:rPr>
          <w:color w:val="000000"/>
        </w:rPr>
        <w:t xml:space="preserve">Practical improvement 5 – </w:t>
      </w:r>
      <w:r w:rsidR="00BC5284">
        <w:rPr>
          <w:color w:val="000000"/>
        </w:rPr>
        <w:t>Local government heritage forum expansion</w:t>
      </w:r>
    </w:p>
    <w:p w14:paraId="5A6D44FF" w14:textId="77777777" w:rsidR="00BC5284" w:rsidRDefault="00BC5284">
      <w:pPr>
        <w:pStyle w:val="Text"/>
      </w:pPr>
      <w:r>
        <w:t>The Review revealed issues around the way in which heritage information is delivered. Workshop participants expressed concerns about a lack of knowledge about the current state of the local heritage space, both with the State Government and other councils. In 2018, the Heritage Council commenced holding an annual, one-day forum for local government planners, officers and Heritage Advisors working within the local heritage space. This forum has taken the place of local heritage forums that were held several times a year by Heritage Victoria for planning and heritage consultants. The forum features presentations from State and local government representatives on matters of importance to local heritage, such as heritage projects and best-practice processes, and provides professional development and networking opportunity for attendees. The forum was held in 2018 in Docklands and 2019 in Whittlesea, and one was planned for 2020 but due to the COVID-19 pandemic, the forum will be replaced by an online event in October or November to publicise the findings of this report. Workshop participants greatly appreciated the forum and expressed a desire for them to be held more frequently, so as to better disseminate local heritage information and network with those in similar council roles. They also expressed a desire for more practical and interactive sessions. It is recommended that the Heritage Council increases the frequency of the local heritage forum to two a year and they include more workshop-based, practically focused sessions.</w:t>
      </w:r>
    </w:p>
    <w:p w14:paraId="2CFCD004" w14:textId="77777777" w:rsidR="00BC5284" w:rsidRDefault="00EC1C86">
      <w:pPr>
        <w:pStyle w:val="HeadingSubtitle3-PI1-red"/>
        <w:rPr>
          <w:color w:val="000000"/>
        </w:rPr>
      </w:pPr>
      <w:r>
        <w:rPr>
          <w:color w:val="000000"/>
        </w:rPr>
        <w:t xml:space="preserve">Practical improvement 6 – </w:t>
      </w:r>
      <w:r w:rsidR="00BC5284">
        <w:rPr>
          <w:color w:val="000000"/>
        </w:rPr>
        <w:t>Clarification of the role of HERMES and the VHD</w:t>
      </w:r>
    </w:p>
    <w:p w14:paraId="79C4FA13" w14:textId="77777777" w:rsidR="00BC5284" w:rsidRDefault="00BC5284">
      <w:pPr>
        <w:pStyle w:val="Text"/>
      </w:pPr>
      <w:r>
        <w:t>The issue of the inconsistent use of HERMES and the VHD for local heritage was identified. Councils are instructed to store their heritage studies and statements of significance in HERMES, so that these are made available to the public through the VHD. However, the survey results show that the majority of councils do not adhere to this, possibly because they are not aware of this requirement or do not have the training to use HERMES. Workshop participants expressed a desire for greater clarification around when and how to use HERMES. It is recommended, therefore, that the Heritage Council works with Heritage Victoria to resolve the role and quality of local heritage data in HERMES and how this then appears in the VHD, and provides training and information where needed.</w:t>
      </w:r>
    </w:p>
    <w:p w14:paraId="14BA95D4" w14:textId="77777777" w:rsidR="00BC5284" w:rsidRDefault="00EC1C86">
      <w:pPr>
        <w:pStyle w:val="HeadingSubtitle3-PI1-red"/>
        <w:rPr>
          <w:color w:val="000000"/>
        </w:rPr>
      </w:pPr>
      <w:r>
        <w:rPr>
          <w:color w:val="000000"/>
        </w:rPr>
        <w:t xml:space="preserve">Practical improvement 7 – </w:t>
      </w:r>
      <w:r w:rsidR="00BC5284">
        <w:rPr>
          <w:color w:val="000000"/>
        </w:rPr>
        <w:t>Advocate a tertiary heritage planning subject</w:t>
      </w:r>
    </w:p>
    <w:p w14:paraId="5512A148" w14:textId="77777777" w:rsidR="00BC5284" w:rsidRDefault="00BC5284">
      <w:pPr>
        <w:pStyle w:val="Text"/>
      </w:pPr>
      <w:r>
        <w:t xml:space="preserve">Planners are at the frontline of local heritage, being tasked with its identification, protection and support. The Review revealed a significant concern among council officers about the ability of graduate planners to undertake this work. There are currently four tertiary institutions in Victoria that offer planning degrees: La Trobe University, Monash University, RMIT University and The University of Melbourne. Of these, only La Trobe runs a subject on heritage planning and it is offered as an elective. The Planning Institute of Australia (PIA), the national body representing the planning profession, accredits planning degrees to ensure appropriate graduate knowledge in six key planning areas. Unfortunately, heritage planning is not one of these areas. The end result is that most planners are not exposed to heritage and a graduate planner is typically without a basic understanding of, or interest in, heritage. Workshop participants wanted to see heritage planning become a core component of planning degrees. It is recommended that the </w:t>
      </w:r>
      <w:r>
        <w:lastRenderedPageBreak/>
        <w:t>Heritage Council advocate to relevant educational bodies the need to include a mandatory subject on heritage planning in their planning degrees.</w:t>
      </w:r>
    </w:p>
    <w:p w14:paraId="46C23AFF" w14:textId="77777777" w:rsidR="00BC5284" w:rsidRDefault="00EC1C86">
      <w:pPr>
        <w:pStyle w:val="HeadingSubtitle3-PI1-red"/>
        <w:rPr>
          <w:color w:val="000000"/>
        </w:rPr>
      </w:pPr>
      <w:r>
        <w:rPr>
          <w:color w:val="000000"/>
        </w:rPr>
        <w:t xml:space="preserve">Practical improvement 8 – </w:t>
      </w:r>
      <w:r w:rsidR="00BC5284">
        <w:rPr>
          <w:color w:val="000000"/>
        </w:rPr>
        <w:t>Promote the use of Heritagechat among planners</w:t>
      </w:r>
    </w:p>
    <w:p w14:paraId="245E1B6F" w14:textId="77777777" w:rsidR="00BC5284" w:rsidRDefault="00BC5284">
      <w:pPr>
        <w:pStyle w:val="Text"/>
      </w:pPr>
      <w:r>
        <w:t>As mentioned above, the Review revealed issues around the way in which heritage information is delivered. Workshop participants expressed concerns about a lack of knowledge about the current state of the local heritage space. There is an opportunity to address this through the use of Heritagechat, an online email forum for heritage professionals moderated by Heritage Victoria. Heritagechat is not well used by council planners; many workshop participants did not know it existed or believed it to be for heritage consultants and professionals concerned with State heritage only. Greater Heritagechat participation among council planners would help them stay up to date on heritage matters and build associated networks. It is recommended that the Heritage Council liaise with Heritage Victoria about the best ways to promote and encourage the use of Heritagechat among council planners.</w:t>
      </w:r>
    </w:p>
    <w:p w14:paraId="494F4026" w14:textId="77777777" w:rsidR="00BC5284" w:rsidRDefault="00BC5284">
      <w:pPr>
        <w:pStyle w:val="Headingsubtitle1"/>
        <w:rPr>
          <w:color w:val="000000"/>
        </w:rPr>
      </w:pPr>
      <w:r>
        <w:rPr>
          <w:color w:val="000000"/>
        </w:rPr>
        <w:t>4.3 Promotional program</w:t>
      </w:r>
    </w:p>
    <w:p w14:paraId="005CCEF2" w14:textId="77777777" w:rsidR="00BC5284" w:rsidRDefault="00BC5284">
      <w:pPr>
        <w:pStyle w:val="Text"/>
      </w:pPr>
      <w:r>
        <w:t xml:space="preserve">A key theme in the majority of the data gathered as part of this Review is the lack of knowledge and information on local cultural heritage amongst councils and the public. This is also to be addressed through the other key deliverable, a promotional program run by the Heritage Council </w:t>
      </w:r>
      <w:bookmarkStart w:id="0" w:name="_GoBack"/>
      <w:r>
        <w:t xml:space="preserve">to showcase best-practice local cultural heritage protection and management, and the benefits that appreciation and protection of local heritage can bring. </w:t>
      </w:r>
      <w:bookmarkEnd w:id="0"/>
      <w:r>
        <w:t>There are two distinct audiences for this promotional program – councils and the community – with each having their own needs. As such, the promotional program will involve two different aspects:</w:t>
      </w:r>
    </w:p>
    <w:p w14:paraId="037BC4ED" w14:textId="77777777" w:rsidR="00BC5284" w:rsidRDefault="00BC5284">
      <w:pPr>
        <w:pStyle w:val="TextBulletsPara"/>
      </w:pPr>
      <w:r>
        <w:rPr>
          <w:rStyle w:val="TextBullet"/>
        </w:rPr>
        <w:t>•</w:t>
      </w:r>
      <w:r>
        <w:rPr>
          <w:rStyle w:val="TextBullet"/>
        </w:rPr>
        <w:tab/>
      </w:r>
      <w:r>
        <w:t>council information sessions</w:t>
      </w:r>
    </w:p>
    <w:p w14:paraId="3E3E759E" w14:textId="77777777" w:rsidR="00BC5284" w:rsidRDefault="00BC5284">
      <w:pPr>
        <w:pStyle w:val="TextBulletsPara"/>
      </w:pPr>
      <w:r>
        <w:rPr>
          <w:rStyle w:val="TextBullet"/>
        </w:rPr>
        <w:t>•</w:t>
      </w:r>
      <w:r>
        <w:rPr>
          <w:rStyle w:val="TextBullet"/>
        </w:rPr>
        <w:tab/>
      </w:r>
      <w:r>
        <w:t>community roadshow.</w:t>
      </w:r>
    </w:p>
    <w:p w14:paraId="7D32F51D" w14:textId="77777777" w:rsidR="00BC5284" w:rsidRDefault="00BC5284">
      <w:pPr>
        <w:pStyle w:val="HeadingSubtitle3-PI1-red"/>
        <w:rPr>
          <w:color w:val="000000"/>
        </w:rPr>
      </w:pPr>
      <w:r>
        <w:rPr>
          <w:color w:val="000000"/>
        </w:rPr>
        <w:t>Promotional program 1 – Council information sessions</w:t>
      </w:r>
    </w:p>
    <w:p w14:paraId="26F254DE" w14:textId="77777777" w:rsidR="00BC5284" w:rsidRDefault="00BC5284">
      <w:pPr>
        <w:pStyle w:val="Text"/>
      </w:pPr>
      <w:r>
        <w:t xml:space="preserve">The data has revealed that there is a lack of information available to councils, both at the officer and executive levels, regarding local heritage. Utilising the Heritage Council’s powers to promote public understanding of heritage and conduct community and information programs, it is recommended that information sessions be held with both council officers and executives (councillors and executive management), building on the delivery of information through the practical improvements to create ‘Heritage 101’ information and induction packs for councils and the public, and councillors, respectively . These sessions should focus on explaining the benefits that heritage protection provides for a council and showcasing examples of best-practice heritage management arrangements, using the case studies featured in this report as a starting point. The former will be of more concern to executives and the latter to officers. Given good attendance at the council workshops, it appears that there is appetite for the Heritage Council to run these information sessions as standalone, face-to-face events. However, they could also be delivered at the DELWP Planning regional forums, especially those aimed at council officers. </w:t>
      </w:r>
    </w:p>
    <w:p w14:paraId="39AEA1E4" w14:textId="77777777" w:rsidR="00BC5284" w:rsidRDefault="00BC5284">
      <w:pPr>
        <w:pStyle w:val="HeadingSubtitle3-PI1-red"/>
        <w:rPr>
          <w:color w:val="000000"/>
        </w:rPr>
      </w:pPr>
      <w:r>
        <w:rPr>
          <w:color w:val="000000"/>
        </w:rPr>
        <w:t>Promotional program 2 – Community roadshow</w:t>
      </w:r>
    </w:p>
    <w:p w14:paraId="7B85681D" w14:textId="77777777" w:rsidR="00BC5284" w:rsidRDefault="00BC5284">
      <w:pPr>
        <w:pStyle w:val="Text"/>
      </w:pPr>
      <w:r>
        <w:t>Likewise, the data has revealed that there is a lack of information available to the community. The needs of the community are quite different to those of councils. The promotion of heritage to the broader community is to focus more on improving understanding of the heritage systems, celebrating examples of local heritage and the benefits that heritage protection provides for local communities. The communication of this information will hopefully improve the public’s acceptance and appreciation of local heritage, and drive councils to undertake more action on local heritage. To promote local heritage to the community, it is recommended that a community roadshow be run across Victoria. This would give community members an opportunity to interact with heritage professionals and better understand the heritage systems, building on the delivery of information through the practical improvement to create a ‘Heritage 101’ information pack. This roadshow could be delivered as a standalone event, like NSW’s ‘Heritage Near Me’ roadshow discussed in Chapter 2, or it could be less structured and consist of targeted activities at other heritage events, such as the National Trust’s ‘Australian Heritage Festival’, the Open House Melbourne Weekend or the heritage events of councils.</w:t>
      </w:r>
    </w:p>
    <w:p w14:paraId="47F81AE5" w14:textId="77777777" w:rsidR="00BC5284" w:rsidRDefault="00BC5284">
      <w:pPr>
        <w:pStyle w:val="Text"/>
      </w:pPr>
      <w:r>
        <w:t>The successful take up of the strategic initiative and other recommendations will influence how and when the promotional program is rolled out. Providing a high level of detail is premature at this stage. It is recommended that the Heritage Council seek guidance from communication professionals on how best to plan and run this program and to identify what resources would be required. Implementation would then be about seeking guidance on the planning and rollout of the program and resourcing.</w:t>
      </w:r>
      <w:r>
        <w:t> </w:t>
      </w:r>
    </w:p>
    <w:p w14:paraId="142C8E7F" w14:textId="77777777" w:rsidR="00BC5284" w:rsidRDefault="009E178F">
      <w:pPr>
        <w:pStyle w:val="ChapterHeading"/>
        <w:rPr>
          <w:color w:val="000000"/>
        </w:rPr>
      </w:pPr>
      <w:r>
        <w:rPr>
          <w:color w:val="000000"/>
        </w:rPr>
        <w:br w:type="page"/>
      </w:r>
      <w:r w:rsidR="00BC5284">
        <w:rPr>
          <w:color w:val="000000"/>
        </w:rPr>
        <w:lastRenderedPageBreak/>
        <w:t>5. Implementation</w:t>
      </w:r>
    </w:p>
    <w:p w14:paraId="0C6366AC" w14:textId="77777777" w:rsidR="00BC5284" w:rsidRDefault="00BC5284">
      <w:pPr>
        <w:pStyle w:val="Intropara"/>
        <w:rPr>
          <w:color w:val="000000"/>
        </w:rPr>
      </w:pPr>
      <w:r>
        <w:rPr>
          <w:color w:val="000000"/>
        </w:rPr>
        <w:t xml:space="preserve">This final chapter proposes a high-level implementation pathway for the Review’s main recommendations. As it is not within the Heritage Council’s authority to deliver the strategic initiative recommendation, the pathway focuses on short-term communication and advocacy actions. For the practical improvements, more detail is provided, outlining relative priorities for the primary actions required from the Heritage Council, the primary partner organisations with whom the Heritage Councils needs to work and an estimate of the level of Heritage Council resources that would be required to deliver the improvements. </w:t>
      </w:r>
    </w:p>
    <w:p w14:paraId="5C66815D" w14:textId="77777777" w:rsidR="0012618E" w:rsidRDefault="0096174A">
      <w:pPr>
        <w:pStyle w:val="Intropara"/>
        <w:rPr>
          <w:color w:val="000000"/>
        </w:rPr>
      </w:pPr>
      <w:r w:rsidRPr="00BC5284">
        <w:t xml:space="preserve">Table </w:t>
      </w:r>
      <w:r>
        <w:t>5.1</w:t>
      </w:r>
      <w:r w:rsidRPr="00BC5284">
        <w:t xml:space="preserve"> </w:t>
      </w:r>
      <w:r w:rsidR="009A297D">
        <w:t>Heritage Council resourcing and priority definition meanings</w:t>
      </w:r>
    </w:p>
    <w:tbl>
      <w:tblPr>
        <w:tblW w:w="0" w:type="auto"/>
        <w:tblInd w:w="80" w:type="dxa"/>
        <w:tblLayout w:type="fixed"/>
        <w:tblCellMar>
          <w:left w:w="0" w:type="dxa"/>
          <w:right w:w="0" w:type="dxa"/>
        </w:tblCellMar>
        <w:tblLook w:val="0000" w:firstRow="0" w:lastRow="0" w:firstColumn="0" w:lastColumn="0" w:noHBand="0" w:noVBand="0"/>
      </w:tblPr>
      <w:tblGrid>
        <w:gridCol w:w="2847"/>
        <w:gridCol w:w="2041"/>
        <w:gridCol w:w="4876"/>
      </w:tblGrid>
      <w:tr w:rsidR="00FD7637" w:rsidRPr="00BC5284" w14:paraId="13334011" w14:textId="77777777" w:rsidTr="00FD7637">
        <w:trPr>
          <w:trHeight w:val="60"/>
        </w:trPr>
        <w:tc>
          <w:tcPr>
            <w:tcW w:w="2847" w:type="dxa"/>
            <w:tcBorders>
              <w:top w:val="single" w:sz="6" w:space="0" w:color="auto"/>
              <w:left w:val="single" w:sz="6" w:space="0" w:color="auto"/>
              <w:bottom w:val="single" w:sz="6" w:space="0" w:color="auto"/>
              <w:right w:val="single" w:sz="2" w:space="0" w:color="auto"/>
            </w:tcBorders>
            <w:tcMar>
              <w:top w:w="113" w:type="dxa"/>
              <w:left w:w="80" w:type="dxa"/>
              <w:bottom w:w="113" w:type="dxa"/>
              <w:right w:w="80" w:type="dxa"/>
            </w:tcMar>
          </w:tcPr>
          <w:p w14:paraId="637DC56B" w14:textId="77777777" w:rsidR="00FD7637" w:rsidRPr="00352FC0" w:rsidRDefault="00FD7637">
            <w:pPr>
              <w:pStyle w:val="NoParagraphStyle"/>
              <w:spacing w:line="240" w:lineRule="auto"/>
              <w:textAlignment w:val="auto"/>
              <w:rPr>
                <w:rFonts w:cs="Times New Roman"/>
              </w:rPr>
            </w:pPr>
          </w:p>
        </w:tc>
        <w:tc>
          <w:tcPr>
            <w:tcW w:w="2041" w:type="dxa"/>
            <w:tcBorders>
              <w:top w:val="single" w:sz="2" w:space="0" w:color="auto"/>
              <w:left w:val="single" w:sz="2" w:space="0" w:color="auto"/>
              <w:bottom w:val="single" w:sz="2" w:space="0" w:color="auto"/>
              <w:right w:val="single" w:sz="2" w:space="0" w:color="auto"/>
            </w:tcBorders>
            <w:shd w:val="clear" w:color="313E48" w:fill="auto"/>
            <w:tcMar>
              <w:top w:w="113" w:type="dxa"/>
              <w:left w:w="80" w:type="dxa"/>
              <w:bottom w:w="113" w:type="dxa"/>
              <w:right w:w="80" w:type="dxa"/>
            </w:tcMar>
          </w:tcPr>
          <w:p w14:paraId="6B0B84A4" w14:textId="77777777" w:rsidR="00FD7637" w:rsidRPr="00352FC0" w:rsidRDefault="00FD7637">
            <w:pPr>
              <w:pStyle w:val="TableHeading1"/>
              <w:rPr>
                <w:color w:val="000000"/>
              </w:rPr>
            </w:pPr>
            <w:r w:rsidRPr="00352FC0">
              <w:rPr>
                <w:color w:val="000000"/>
              </w:rPr>
              <w:t>Term</w:t>
            </w:r>
          </w:p>
        </w:tc>
        <w:tc>
          <w:tcPr>
            <w:tcW w:w="4876" w:type="dxa"/>
            <w:tcBorders>
              <w:top w:val="single" w:sz="2" w:space="0" w:color="auto"/>
              <w:left w:val="single" w:sz="2" w:space="0" w:color="auto"/>
              <w:bottom w:val="single" w:sz="2" w:space="0" w:color="auto"/>
              <w:right w:val="single" w:sz="2" w:space="0" w:color="auto"/>
            </w:tcBorders>
            <w:shd w:val="clear" w:color="313E48" w:fill="auto"/>
            <w:tcMar>
              <w:top w:w="113" w:type="dxa"/>
              <w:left w:w="80" w:type="dxa"/>
              <w:bottom w:w="113" w:type="dxa"/>
              <w:right w:w="80" w:type="dxa"/>
            </w:tcMar>
          </w:tcPr>
          <w:p w14:paraId="33EC8190" w14:textId="77777777" w:rsidR="00FD7637" w:rsidRPr="00352FC0" w:rsidRDefault="00FD7637">
            <w:pPr>
              <w:pStyle w:val="TableHeading1"/>
              <w:rPr>
                <w:color w:val="000000"/>
              </w:rPr>
            </w:pPr>
            <w:r w:rsidRPr="00352FC0">
              <w:rPr>
                <w:color w:val="000000"/>
              </w:rPr>
              <w:t>Definition</w:t>
            </w:r>
          </w:p>
        </w:tc>
      </w:tr>
      <w:tr w:rsidR="00FD7637" w:rsidRPr="00BC5284" w14:paraId="3BD4D7ED" w14:textId="77777777" w:rsidTr="00FD7637">
        <w:trPr>
          <w:trHeight w:val="60"/>
        </w:trPr>
        <w:tc>
          <w:tcPr>
            <w:tcW w:w="2847" w:type="dxa"/>
            <w:vMerge w:val="restart"/>
            <w:tcBorders>
              <w:top w:val="single" w:sz="6" w:space="0" w:color="auto"/>
              <w:left w:val="single" w:sz="6" w:space="0" w:color="000000"/>
              <w:bottom w:val="single" w:sz="2" w:space="0" w:color="000000"/>
              <w:right w:val="single" w:sz="6" w:space="0" w:color="000000"/>
            </w:tcBorders>
            <w:tcMar>
              <w:top w:w="170" w:type="dxa"/>
              <w:left w:w="80" w:type="dxa"/>
              <w:bottom w:w="170" w:type="dxa"/>
              <w:right w:w="80" w:type="dxa"/>
            </w:tcMar>
          </w:tcPr>
          <w:p w14:paraId="302D7BFB" w14:textId="77777777" w:rsidR="00FD7637" w:rsidRPr="00352FC0" w:rsidRDefault="00FD7637">
            <w:pPr>
              <w:pStyle w:val="TableHeading1"/>
              <w:rPr>
                <w:color w:val="000000"/>
              </w:rPr>
            </w:pPr>
            <w:r w:rsidRPr="00352FC0">
              <w:rPr>
                <w:color w:val="000000"/>
              </w:rPr>
              <w:t>Heritage Council resourcing definitions</w:t>
            </w:r>
          </w:p>
        </w:tc>
        <w:tc>
          <w:tcPr>
            <w:tcW w:w="2041" w:type="dxa"/>
            <w:tcBorders>
              <w:top w:val="single" w:sz="2" w:space="0" w:color="auto"/>
              <w:left w:val="single" w:sz="6" w:space="0" w:color="000000"/>
              <w:bottom w:val="single" w:sz="2" w:space="0" w:color="000000"/>
              <w:right w:val="single" w:sz="6" w:space="0" w:color="000000"/>
            </w:tcBorders>
            <w:tcMar>
              <w:top w:w="142" w:type="dxa"/>
              <w:left w:w="80" w:type="dxa"/>
              <w:bottom w:w="142" w:type="dxa"/>
              <w:right w:w="80" w:type="dxa"/>
            </w:tcMar>
          </w:tcPr>
          <w:p w14:paraId="5BFA21AD" w14:textId="77777777" w:rsidR="00FD7637" w:rsidRPr="00352FC0" w:rsidRDefault="00FD7637">
            <w:pPr>
              <w:pStyle w:val="TableText"/>
            </w:pPr>
            <w:r w:rsidRPr="00352FC0">
              <w:rPr>
                <w:rStyle w:val="TabletextBold"/>
                <w:rFonts w:cs="FreightSans Pro Bold"/>
                <w:bCs/>
              </w:rPr>
              <w:t>Low</w:t>
            </w:r>
          </w:p>
        </w:tc>
        <w:tc>
          <w:tcPr>
            <w:tcW w:w="4876" w:type="dxa"/>
            <w:tcBorders>
              <w:top w:val="single" w:sz="2" w:space="0" w:color="auto"/>
              <w:left w:val="single" w:sz="6" w:space="0" w:color="000000"/>
              <w:bottom w:val="single" w:sz="2" w:space="0" w:color="000000"/>
              <w:right w:val="single" w:sz="6" w:space="0" w:color="000000"/>
            </w:tcBorders>
            <w:tcMar>
              <w:top w:w="142" w:type="dxa"/>
              <w:left w:w="80" w:type="dxa"/>
              <w:bottom w:w="142" w:type="dxa"/>
              <w:right w:w="80" w:type="dxa"/>
            </w:tcMar>
          </w:tcPr>
          <w:p w14:paraId="25EACD5B" w14:textId="77777777" w:rsidR="00FD7637" w:rsidRPr="00352FC0" w:rsidRDefault="00FD7637">
            <w:pPr>
              <w:pStyle w:val="TableText"/>
            </w:pPr>
            <w:r w:rsidRPr="00352FC0">
              <w:t>Staffing costs only</w:t>
            </w:r>
          </w:p>
        </w:tc>
      </w:tr>
      <w:tr w:rsidR="00FD7637" w:rsidRPr="00BC5284" w14:paraId="0C92F5BF" w14:textId="77777777" w:rsidTr="00FD7637">
        <w:trPr>
          <w:trHeight w:val="60"/>
        </w:trPr>
        <w:tc>
          <w:tcPr>
            <w:tcW w:w="2847" w:type="dxa"/>
            <w:vMerge/>
            <w:tcBorders>
              <w:top w:val="single" w:sz="6" w:space="0" w:color="auto"/>
              <w:left w:val="single" w:sz="6" w:space="0" w:color="000000"/>
              <w:bottom w:val="single" w:sz="2" w:space="0" w:color="000000"/>
              <w:right w:val="single" w:sz="6" w:space="0" w:color="000000"/>
            </w:tcBorders>
          </w:tcPr>
          <w:p w14:paraId="6F6C7DF4" w14:textId="77777777" w:rsidR="00FD7637" w:rsidRPr="00352FC0" w:rsidRDefault="00FD7637">
            <w:pPr>
              <w:pStyle w:val="NoParagraphStyle"/>
              <w:spacing w:line="240" w:lineRule="auto"/>
              <w:textAlignment w:val="auto"/>
              <w:rPr>
                <w:rFonts w:cs="Times New Roman"/>
              </w:rPr>
            </w:pPr>
          </w:p>
        </w:tc>
        <w:tc>
          <w:tcPr>
            <w:tcW w:w="2041" w:type="dxa"/>
            <w:tcBorders>
              <w:top w:val="single" w:sz="2" w:space="0" w:color="000000"/>
              <w:left w:val="single" w:sz="6" w:space="0" w:color="000000"/>
              <w:bottom w:val="single" w:sz="2" w:space="0" w:color="000000"/>
              <w:right w:val="single" w:sz="6" w:space="0" w:color="000000"/>
            </w:tcBorders>
            <w:tcMar>
              <w:top w:w="142" w:type="dxa"/>
              <w:left w:w="80" w:type="dxa"/>
              <w:bottom w:w="142" w:type="dxa"/>
              <w:right w:w="80" w:type="dxa"/>
            </w:tcMar>
          </w:tcPr>
          <w:p w14:paraId="3028F832" w14:textId="77777777" w:rsidR="00FD7637" w:rsidRPr="00352FC0" w:rsidRDefault="00FD7637">
            <w:pPr>
              <w:pStyle w:val="TableText"/>
            </w:pPr>
            <w:r w:rsidRPr="00352FC0">
              <w:rPr>
                <w:rStyle w:val="TabletextBold"/>
                <w:rFonts w:cs="FreightSans Pro Bold"/>
                <w:bCs/>
              </w:rPr>
              <w:t>Medium</w:t>
            </w:r>
          </w:p>
        </w:tc>
        <w:tc>
          <w:tcPr>
            <w:tcW w:w="4876" w:type="dxa"/>
            <w:tcBorders>
              <w:top w:val="single" w:sz="2" w:space="0" w:color="000000"/>
              <w:left w:val="single" w:sz="6" w:space="0" w:color="000000"/>
              <w:bottom w:val="single" w:sz="2" w:space="0" w:color="000000"/>
              <w:right w:val="single" w:sz="6" w:space="0" w:color="000000"/>
            </w:tcBorders>
            <w:tcMar>
              <w:top w:w="142" w:type="dxa"/>
              <w:left w:w="80" w:type="dxa"/>
              <w:bottom w:w="142" w:type="dxa"/>
              <w:right w:w="80" w:type="dxa"/>
            </w:tcMar>
          </w:tcPr>
          <w:p w14:paraId="2EC66810" w14:textId="77777777" w:rsidR="00FD7637" w:rsidRPr="00352FC0" w:rsidRDefault="00FD7637">
            <w:pPr>
              <w:pStyle w:val="TableText"/>
            </w:pPr>
            <w:r w:rsidRPr="00352FC0">
              <w:t>Staffing costs + minimal budget costs</w:t>
            </w:r>
          </w:p>
        </w:tc>
      </w:tr>
      <w:tr w:rsidR="00FD7637" w:rsidRPr="00BC5284" w14:paraId="4CAE6D97" w14:textId="77777777" w:rsidTr="00FD7637">
        <w:trPr>
          <w:trHeight w:val="60"/>
        </w:trPr>
        <w:tc>
          <w:tcPr>
            <w:tcW w:w="2847" w:type="dxa"/>
            <w:vMerge/>
            <w:tcBorders>
              <w:top w:val="single" w:sz="6" w:space="0" w:color="auto"/>
              <w:left w:val="single" w:sz="6" w:space="0" w:color="000000"/>
              <w:bottom w:val="single" w:sz="2" w:space="0" w:color="000000"/>
              <w:right w:val="single" w:sz="6" w:space="0" w:color="000000"/>
            </w:tcBorders>
          </w:tcPr>
          <w:p w14:paraId="7CEA623F" w14:textId="77777777" w:rsidR="00FD7637" w:rsidRPr="00352FC0" w:rsidRDefault="00FD7637">
            <w:pPr>
              <w:pStyle w:val="NoParagraphStyle"/>
              <w:spacing w:line="240" w:lineRule="auto"/>
              <w:textAlignment w:val="auto"/>
              <w:rPr>
                <w:rFonts w:cs="Times New Roman"/>
              </w:rPr>
            </w:pPr>
          </w:p>
        </w:tc>
        <w:tc>
          <w:tcPr>
            <w:tcW w:w="2041" w:type="dxa"/>
            <w:tcBorders>
              <w:top w:val="single" w:sz="2" w:space="0" w:color="000000"/>
              <w:left w:val="single" w:sz="6" w:space="0" w:color="000000"/>
              <w:bottom w:val="single" w:sz="4" w:space="0" w:color="000000"/>
              <w:right w:val="single" w:sz="6" w:space="0" w:color="000000"/>
            </w:tcBorders>
            <w:tcMar>
              <w:top w:w="142" w:type="dxa"/>
              <w:left w:w="80" w:type="dxa"/>
              <w:bottom w:w="142" w:type="dxa"/>
              <w:right w:w="80" w:type="dxa"/>
            </w:tcMar>
          </w:tcPr>
          <w:p w14:paraId="46C7FE20" w14:textId="77777777" w:rsidR="00FD7637" w:rsidRPr="00352FC0" w:rsidRDefault="00FD7637">
            <w:pPr>
              <w:pStyle w:val="TableText"/>
            </w:pPr>
            <w:r w:rsidRPr="00352FC0">
              <w:rPr>
                <w:rStyle w:val="TabletextBold"/>
                <w:rFonts w:cs="FreightSans Pro Bold"/>
                <w:bCs/>
              </w:rPr>
              <w:t>High</w:t>
            </w:r>
          </w:p>
        </w:tc>
        <w:tc>
          <w:tcPr>
            <w:tcW w:w="4876" w:type="dxa"/>
            <w:tcBorders>
              <w:top w:val="single" w:sz="2" w:space="0" w:color="000000"/>
              <w:left w:val="single" w:sz="6" w:space="0" w:color="000000"/>
              <w:bottom w:val="single" w:sz="4" w:space="0" w:color="000000"/>
              <w:right w:val="single" w:sz="6" w:space="0" w:color="000000"/>
            </w:tcBorders>
            <w:tcMar>
              <w:top w:w="142" w:type="dxa"/>
              <w:left w:w="80" w:type="dxa"/>
              <w:bottom w:w="142" w:type="dxa"/>
              <w:right w:w="80" w:type="dxa"/>
            </w:tcMar>
          </w:tcPr>
          <w:p w14:paraId="016CF98E" w14:textId="77777777" w:rsidR="00FD7637" w:rsidRPr="00352FC0" w:rsidRDefault="00FD7637">
            <w:pPr>
              <w:pStyle w:val="TableText"/>
            </w:pPr>
            <w:r w:rsidRPr="00352FC0">
              <w:t>Staffing costs + significant budget costs</w:t>
            </w:r>
          </w:p>
        </w:tc>
      </w:tr>
      <w:tr w:rsidR="00FD7637" w:rsidRPr="00BC5284" w14:paraId="012DC1DC" w14:textId="77777777" w:rsidTr="00FD7637">
        <w:trPr>
          <w:trHeight w:val="60"/>
        </w:trPr>
        <w:tc>
          <w:tcPr>
            <w:tcW w:w="2847" w:type="dxa"/>
            <w:vMerge w:val="restart"/>
            <w:tcBorders>
              <w:top w:val="single" w:sz="6" w:space="0" w:color="auto"/>
              <w:left w:val="single" w:sz="6" w:space="0" w:color="000000"/>
              <w:bottom w:val="single" w:sz="2" w:space="0" w:color="000000"/>
              <w:right w:val="single" w:sz="6" w:space="0" w:color="000000"/>
            </w:tcBorders>
            <w:tcMar>
              <w:top w:w="170" w:type="dxa"/>
              <w:left w:w="80" w:type="dxa"/>
              <w:bottom w:w="170" w:type="dxa"/>
              <w:right w:w="80" w:type="dxa"/>
            </w:tcMar>
          </w:tcPr>
          <w:p w14:paraId="5AAF0BC1" w14:textId="77777777" w:rsidR="00FD7637" w:rsidRPr="00352FC0" w:rsidRDefault="00FD7637">
            <w:pPr>
              <w:pStyle w:val="TableHeading1"/>
              <w:rPr>
                <w:color w:val="000000"/>
              </w:rPr>
            </w:pPr>
            <w:r w:rsidRPr="00352FC0">
              <w:rPr>
                <w:color w:val="000000"/>
              </w:rPr>
              <w:t>Priority definitions</w:t>
            </w:r>
          </w:p>
        </w:tc>
        <w:tc>
          <w:tcPr>
            <w:tcW w:w="2041" w:type="dxa"/>
            <w:tcBorders>
              <w:top w:val="single" w:sz="4" w:space="0" w:color="000000"/>
              <w:left w:val="single" w:sz="6" w:space="0" w:color="000000"/>
              <w:bottom w:val="single" w:sz="2" w:space="0" w:color="000000"/>
              <w:right w:val="single" w:sz="6" w:space="0" w:color="000000"/>
            </w:tcBorders>
            <w:tcMar>
              <w:top w:w="142" w:type="dxa"/>
              <w:left w:w="80" w:type="dxa"/>
              <w:bottom w:w="142" w:type="dxa"/>
              <w:right w:w="80" w:type="dxa"/>
            </w:tcMar>
          </w:tcPr>
          <w:p w14:paraId="0862BE83" w14:textId="77777777" w:rsidR="00FD7637" w:rsidRPr="00352FC0" w:rsidRDefault="00FD7637">
            <w:pPr>
              <w:pStyle w:val="TableText"/>
            </w:pPr>
            <w:r w:rsidRPr="00352FC0">
              <w:rPr>
                <w:rStyle w:val="TabletextBold"/>
                <w:rFonts w:cs="FreightSans Pro Bold"/>
                <w:bCs/>
              </w:rPr>
              <w:t>High</w:t>
            </w:r>
          </w:p>
        </w:tc>
        <w:tc>
          <w:tcPr>
            <w:tcW w:w="4876" w:type="dxa"/>
            <w:tcBorders>
              <w:top w:val="single" w:sz="4" w:space="0" w:color="000000"/>
              <w:left w:val="single" w:sz="6" w:space="0" w:color="000000"/>
              <w:bottom w:val="single" w:sz="2" w:space="0" w:color="000000"/>
              <w:right w:val="single" w:sz="6" w:space="0" w:color="000000"/>
            </w:tcBorders>
            <w:tcMar>
              <w:top w:w="142" w:type="dxa"/>
              <w:left w:w="80" w:type="dxa"/>
              <w:bottom w:w="142" w:type="dxa"/>
              <w:right w:w="80" w:type="dxa"/>
            </w:tcMar>
          </w:tcPr>
          <w:p w14:paraId="4F33616F" w14:textId="77777777" w:rsidR="00FD7637" w:rsidRPr="00352FC0" w:rsidRDefault="00FD7637">
            <w:pPr>
              <w:pStyle w:val="TableText"/>
            </w:pPr>
            <w:r w:rsidRPr="00352FC0">
              <w:t>HCV Action start date &lt; 6 months</w:t>
            </w:r>
          </w:p>
        </w:tc>
      </w:tr>
      <w:tr w:rsidR="00FD7637" w:rsidRPr="00BC5284" w14:paraId="2901C315" w14:textId="77777777" w:rsidTr="00FD7637">
        <w:trPr>
          <w:trHeight w:val="60"/>
        </w:trPr>
        <w:tc>
          <w:tcPr>
            <w:tcW w:w="2847" w:type="dxa"/>
            <w:vMerge/>
            <w:tcBorders>
              <w:top w:val="single" w:sz="6" w:space="0" w:color="auto"/>
              <w:left w:val="single" w:sz="6" w:space="0" w:color="000000"/>
              <w:bottom w:val="single" w:sz="2" w:space="0" w:color="000000"/>
              <w:right w:val="single" w:sz="6" w:space="0" w:color="000000"/>
            </w:tcBorders>
          </w:tcPr>
          <w:p w14:paraId="5372C2ED" w14:textId="77777777" w:rsidR="00FD7637" w:rsidRPr="00352FC0" w:rsidRDefault="00FD7637">
            <w:pPr>
              <w:pStyle w:val="NoParagraphStyle"/>
              <w:spacing w:line="240" w:lineRule="auto"/>
              <w:textAlignment w:val="auto"/>
              <w:rPr>
                <w:rFonts w:cs="Times New Roman"/>
              </w:rPr>
            </w:pPr>
          </w:p>
        </w:tc>
        <w:tc>
          <w:tcPr>
            <w:tcW w:w="2041" w:type="dxa"/>
            <w:tcBorders>
              <w:top w:val="single" w:sz="2" w:space="0" w:color="000000"/>
              <w:left w:val="single" w:sz="6" w:space="0" w:color="000000"/>
              <w:bottom w:val="single" w:sz="2" w:space="0" w:color="000000"/>
              <w:right w:val="single" w:sz="6" w:space="0" w:color="000000"/>
            </w:tcBorders>
            <w:tcMar>
              <w:top w:w="142" w:type="dxa"/>
              <w:left w:w="80" w:type="dxa"/>
              <w:bottom w:w="142" w:type="dxa"/>
              <w:right w:w="80" w:type="dxa"/>
            </w:tcMar>
          </w:tcPr>
          <w:p w14:paraId="74ACEC2A" w14:textId="77777777" w:rsidR="00FD7637" w:rsidRPr="00352FC0" w:rsidRDefault="00FD7637">
            <w:pPr>
              <w:pStyle w:val="TableText"/>
            </w:pPr>
            <w:r w:rsidRPr="00352FC0">
              <w:rPr>
                <w:rStyle w:val="TabletextBold"/>
                <w:rFonts w:cs="FreightSans Pro Bold"/>
                <w:bCs/>
              </w:rPr>
              <w:t>Medium</w:t>
            </w:r>
          </w:p>
        </w:tc>
        <w:tc>
          <w:tcPr>
            <w:tcW w:w="4876" w:type="dxa"/>
            <w:tcBorders>
              <w:top w:val="single" w:sz="2" w:space="0" w:color="000000"/>
              <w:left w:val="single" w:sz="6" w:space="0" w:color="000000"/>
              <w:bottom w:val="single" w:sz="2" w:space="0" w:color="000000"/>
              <w:right w:val="single" w:sz="6" w:space="0" w:color="000000"/>
            </w:tcBorders>
            <w:tcMar>
              <w:top w:w="142" w:type="dxa"/>
              <w:left w:w="80" w:type="dxa"/>
              <w:bottom w:w="142" w:type="dxa"/>
              <w:right w:w="80" w:type="dxa"/>
            </w:tcMar>
          </w:tcPr>
          <w:p w14:paraId="28ED0C68" w14:textId="77777777" w:rsidR="00FD7637" w:rsidRPr="00352FC0" w:rsidRDefault="00FD7637">
            <w:pPr>
              <w:pStyle w:val="TableText"/>
            </w:pPr>
            <w:r w:rsidRPr="00352FC0">
              <w:t>HCV Action start date 6 – 12 months</w:t>
            </w:r>
          </w:p>
        </w:tc>
      </w:tr>
      <w:tr w:rsidR="00FD7637" w:rsidRPr="00BC5284" w14:paraId="0B789C72" w14:textId="77777777" w:rsidTr="00FD7637">
        <w:trPr>
          <w:trHeight w:val="60"/>
        </w:trPr>
        <w:tc>
          <w:tcPr>
            <w:tcW w:w="2847" w:type="dxa"/>
            <w:vMerge/>
            <w:tcBorders>
              <w:top w:val="single" w:sz="6" w:space="0" w:color="auto"/>
              <w:left w:val="single" w:sz="6" w:space="0" w:color="000000"/>
              <w:bottom w:val="single" w:sz="2" w:space="0" w:color="000000"/>
              <w:right w:val="single" w:sz="6" w:space="0" w:color="000000"/>
            </w:tcBorders>
          </w:tcPr>
          <w:p w14:paraId="43A5B32D" w14:textId="77777777" w:rsidR="00FD7637" w:rsidRPr="00352FC0" w:rsidRDefault="00FD7637">
            <w:pPr>
              <w:pStyle w:val="NoParagraphStyle"/>
              <w:spacing w:line="240" w:lineRule="auto"/>
              <w:textAlignment w:val="auto"/>
              <w:rPr>
                <w:rFonts w:cs="Times New Roman"/>
              </w:rPr>
            </w:pPr>
          </w:p>
        </w:tc>
        <w:tc>
          <w:tcPr>
            <w:tcW w:w="2041" w:type="dxa"/>
            <w:tcBorders>
              <w:top w:val="single" w:sz="2" w:space="0" w:color="000000"/>
              <w:left w:val="single" w:sz="6" w:space="0" w:color="000000"/>
              <w:bottom w:val="single" w:sz="4" w:space="0" w:color="000000"/>
              <w:right w:val="single" w:sz="6" w:space="0" w:color="000000"/>
            </w:tcBorders>
            <w:tcMar>
              <w:top w:w="142" w:type="dxa"/>
              <w:left w:w="80" w:type="dxa"/>
              <w:bottom w:w="142" w:type="dxa"/>
              <w:right w:w="80" w:type="dxa"/>
            </w:tcMar>
          </w:tcPr>
          <w:p w14:paraId="46D7A82E" w14:textId="77777777" w:rsidR="00FD7637" w:rsidRPr="00352FC0" w:rsidRDefault="00FD7637">
            <w:pPr>
              <w:pStyle w:val="TableText"/>
            </w:pPr>
            <w:r w:rsidRPr="00352FC0">
              <w:rPr>
                <w:rStyle w:val="TabletextBold"/>
                <w:rFonts w:cs="FreightSans Pro Bold"/>
                <w:bCs/>
              </w:rPr>
              <w:t>Low</w:t>
            </w:r>
          </w:p>
        </w:tc>
        <w:tc>
          <w:tcPr>
            <w:tcW w:w="4876" w:type="dxa"/>
            <w:tcBorders>
              <w:top w:val="single" w:sz="2" w:space="0" w:color="000000"/>
              <w:left w:val="single" w:sz="6" w:space="0" w:color="000000"/>
              <w:bottom w:val="single" w:sz="4" w:space="0" w:color="000000"/>
              <w:right w:val="single" w:sz="6" w:space="0" w:color="000000"/>
            </w:tcBorders>
            <w:tcMar>
              <w:top w:w="142" w:type="dxa"/>
              <w:left w:w="80" w:type="dxa"/>
              <w:bottom w:w="142" w:type="dxa"/>
              <w:right w:w="80" w:type="dxa"/>
            </w:tcMar>
          </w:tcPr>
          <w:p w14:paraId="5A5BB697" w14:textId="77777777" w:rsidR="00FD7637" w:rsidRPr="00352FC0" w:rsidRDefault="00FD7637">
            <w:pPr>
              <w:pStyle w:val="TableText"/>
            </w:pPr>
            <w:r w:rsidRPr="00352FC0">
              <w:t>HCV Action start date &gt; 12 months</w:t>
            </w:r>
          </w:p>
        </w:tc>
      </w:tr>
    </w:tbl>
    <w:p w14:paraId="2D166FDF" w14:textId="77777777" w:rsidR="00BC5284" w:rsidRDefault="00BC5284">
      <w:pPr>
        <w:pStyle w:val="BasicParagraph"/>
      </w:pPr>
    </w:p>
    <w:p w14:paraId="50CE892A" w14:textId="77777777" w:rsidR="00BC5284" w:rsidRDefault="00BC5284">
      <w:pPr>
        <w:pStyle w:val="Headingsubtitle1"/>
        <w:rPr>
          <w:color w:val="000000"/>
        </w:rPr>
      </w:pPr>
      <w:r>
        <w:rPr>
          <w:color w:val="000000"/>
        </w:rPr>
        <w:t>5.1 Strategic initiative</w:t>
      </w:r>
    </w:p>
    <w:p w14:paraId="1E70F138" w14:textId="77777777" w:rsidR="00BC5284" w:rsidRDefault="00BC5284">
      <w:pPr>
        <w:pStyle w:val="HeadingSubtitle2"/>
        <w:rPr>
          <w:color w:val="000000"/>
        </w:rPr>
      </w:pPr>
      <w:r>
        <w:rPr>
          <w:color w:val="000000"/>
        </w:rPr>
        <w:t>Revitalisation of the State’s role in providing leadership in the protection and management of local heritage</w:t>
      </w:r>
    </w:p>
    <w:p w14:paraId="6DE2A677" w14:textId="77777777" w:rsidR="00BC5284" w:rsidRDefault="00BC5284">
      <w:pPr>
        <w:pStyle w:val="Text"/>
      </w:pPr>
      <w:r>
        <w:t xml:space="preserve">The strategic initiative is designed to reinforce the State Government’s leadership role with respect to local heritage and requires support from the Minister for Planning and agreement from DELWP Planning to implement. </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764F17EE" w14:textId="77777777" w:rsidTr="00B73FFA">
        <w:trPr>
          <w:trHeight w:val="60"/>
        </w:trPr>
        <w:tc>
          <w:tcPr>
            <w:tcW w:w="737" w:type="dxa"/>
            <w:tcBorders>
              <w:top w:val="single" w:sz="2" w:space="0" w:color="000000"/>
              <w:left w:val="single" w:sz="6" w:space="0" w:color="auto"/>
              <w:bottom w:val="single" w:sz="2" w:space="0" w:color="000000"/>
              <w:right w:val="single" w:sz="6" w:space="0" w:color="auto"/>
            </w:tcBorders>
            <w:shd w:val="clear" w:color="313E48" w:fill="auto"/>
            <w:tcMar>
              <w:top w:w="113" w:type="dxa"/>
              <w:left w:w="80" w:type="dxa"/>
              <w:bottom w:w="113" w:type="dxa"/>
              <w:right w:w="80" w:type="dxa"/>
            </w:tcMar>
          </w:tcPr>
          <w:p w14:paraId="2B191B1E"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2" w:space="0" w:color="000000"/>
              <w:left w:val="single" w:sz="6" w:space="0" w:color="auto"/>
              <w:bottom w:val="single" w:sz="2" w:space="0" w:color="000000"/>
              <w:right w:val="single" w:sz="6" w:space="0" w:color="auto"/>
            </w:tcBorders>
            <w:shd w:val="clear" w:color="313E48" w:fill="auto"/>
            <w:tcMar>
              <w:top w:w="113" w:type="dxa"/>
              <w:left w:w="80" w:type="dxa"/>
              <w:bottom w:w="113" w:type="dxa"/>
              <w:right w:w="80" w:type="dxa"/>
            </w:tcMar>
          </w:tcPr>
          <w:p w14:paraId="7D321959"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2" w:space="0" w:color="000000"/>
              <w:left w:val="single" w:sz="6" w:space="0" w:color="auto"/>
              <w:bottom w:val="single" w:sz="2" w:space="0" w:color="000000"/>
              <w:right w:val="single" w:sz="6" w:space="0" w:color="auto"/>
            </w:tcBorders>
            <w:shd w:val="clear" w:color="313E48" w:fill="auto"/>
            <w:tcMar>
              <w:top w:w="113" w:type="dxa"/>
              <w:left w:w="80" w:type="dxa"/>
              <w:bottom w:w="113" w:type="dxa"/>
              <w:right w:w="80" w:type="dxa"/>
            </w:tcMar>
          </w:tcPr>
          <w:p w14:paraId="0603682B"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2" w:space="0" w:color="000000"/>
              <w:left w:val="single" w:sz="6" w:space="0" w:color="auto"/>
              <w:bottom w:val="single" w:sz="2" w:space="0" w:color="000000"/>
              <w:right w:val="single" w:sz="6" w:space="0" w:color="auto"/>
            </w:tcBorders>
            <w:shd w:val="clear" w:color="313E48" w:fill="auto"/>
            <w:tcMar>
              <w:top w:w="113" w:type="dxa"/>
              <w:left w:w="80" w:type="dxa"/>
              <w:bottom w:w="113" w:type="dxa"/>
              <w:right w:w="80" w:type="dxa"/>
            </w:tcMar>
          </w:tcPr>
          <w:p w14:paraId="4BBFDE69"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2" w:space="0" w:color="000000"/>
              <w:left w:val="single" w:sz="6" w:space="0" w:color="auto"/>
              <w:bottom w:val="single" w:sz="2" w:space="0" w:color="000000"/>
              <w:right w:val="single" w:sz="6" w:space="0" w:color="auto"/>
            </w:tcBorders>
            <w:shd w:val="clear" w:color="313E48" w:fill="auto"/>
            <w:tcMar>
              <w:top w:w="113" w:type="dxa"/>
              <w:left w:w="80" w:type="dxa"/>
              <w:bottom w:w="113" w:type="dxa"/>
              <w:right w:w="80" w:type="dxa"/>
            </w:tcMar>
          </w:tcPr>
          <w:p w14:paraId="1AC4431B"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4F5D1FC6" w14:textId="77777777">
        <w:trPr>
          <w:trHeight w:val="60"/>
        </w:trPr>
        <w:tc>
          <w:tcPr>
            <w:tcW w:w="737"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5355FD58" w14:textId="77777777" w:rsidR="00BC5284" w:rsidRPr="00BC5284" w:rsidRDefault="00BC5284">
            <w:pPr>
              <w:pStyle w:val="TableText"/>
            </w:pPr>
            <w:r w:rsidRPr="00BC5284">
              <w:t>DELWP</w:t>
            </w:r>
          </w:p>
        </w:tc>
        <w:tc>
          <w:tcPr>
            <w:tcW w:w="1508"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4E50AC9" w14:textId="77777777" w:rsidR="00BC5284" w:rsidRPr="00BC5284" w:rsidRDefault="00BC5284">
            <w:pPr>
              <w:pStyle w:val="TableText"/>
            </w:pPr>
            <w:r w:rsidRPr="00BC5284">
              <w:t>DELWP Planning</w:t>
            </w:r>
          </w:p>
        </w:tc>
        <w:tc>
          <w:tcPr>
            <w:tcW w:w="1055"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1DB977E" w14:textId="77777777" w:rsidR="00BC5284" w:rsidRPr="00BC5284" w:rsidRDefault="00BC5284">
            <w:pPr>
              <w:pStyle w:val="TableText"/>
            </w:pPr>
            <w:r w:rsidRPr="00BC5284">
              <w:t>Low</w:t>
            </w:r>
          </w:p>
        </w:tc>
        <w:tc>
          <w:tcPr>
            <w:tcW w:w="793"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04F6169" w14:textId="77777777" w:rsidR="00BC5284" w:rsidRPr="00BC5284" w:rsidRDefault="00BC5284">
            <w:pPr>
              <w:pStyle w:val="TableText"/>
            </w:pPr>
            <w:r w:rsidRPr="00BC5284">
              <w:t>High</w:t>
            </w:r>
          </w:p>
        </w:tc>
        <w:tc>
          <w:tcPr>
            <w:tcW w:w="783"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058F287" w14:textId="77777777" w:rsidR="00BC5284" w:rsidRPr="00BC5284" w:rsidRDefault="00BC5284">
            <w:pPr>
              <w:pStyle w:val="TableText"/>
            </w:pPr>
            <w:r w:rsidRPr="00BC5284">
              <w:t>Aug 2020</w:t>
            </w:r>
          </w:p>
        </w:tc>
      </w:tr>
    </w:tbl>
    <w:p w14:paraId="4298DD00" w14:textId="77777777" w:rsidR="00BC5284" w:rsidRDefault="00BC5284">
      <w:pPr>
        <w:pStyle w:val="Text"/>
        <w:rPr>
          <w:rFonts w:ascii="FreightSans Pro Bold" w:hAnsi="FreightSans Pro Bold" w:cs="FreightSans Pro Bold"/>
          <w:b/>
          <w:bCs/>
          <w:sz w:val="22"/>
          <w:szCs w:val="22"/>
        </w:rPr>
      </w:pPr>
    </w:p>
    <w:p w14:paraId="7D631C51" w14:textId="77777777" w:rsidR="00BC5284" w:rsidRDefault="00BC5284">
      <w:pPr>
        <w:pStyle w:val="HeadingSubtitle4"/>
        <w:rPr>
          <w:color w:val="000000"/>
        </w:rPr>
      </w:pPr>
      <w:r>
        <w:rPr>
          <w:color w:val="000000"/>
        </w:rPr>
        <w:t>Action 1 – Meet with the Minister to discuss and advocate the strategic initiative</w:t>
      </w:r>
    </w:p>
    <w:p w14:paraId="5E424F07" w14:textId="77777777" w:rsidR="00BC5284" w:rsidRDefault="00BC5284">
      <w:pPr>
        <w:pStyle w:val="Text"/>
      </w:pPr>
      <w:r>
        <w:t>The Chair and Executive Officer of the Heritage Council to meet with the Minister for Planning to discuss the findings of the Review and, in particular, the recommended strategic initiative and seek his support for the report and its recommendations.</w:t>
      </w:r>
    </w:p>
    <w:p w14:paraId="30DEA645" w14:textId="77777777" w:rsidR="00BC5284" w:rsidRDefault="00BC5284">
      <w:pPr>
        <w:pStyle w:val="HeadingSubtitle4"/>
        <w:rPr>
          <w:color w:val="000000"/>
        </w:rPr>
      </w:pPr>
      <w:r>
        <w:rPr>
          <w:color w:val="000000"/>
        </w:rPr>
        <w:t>Action 2 – Meet with DELWP Executives to discuss the findings of the Review</w:t>
      </w:r>
    </w:p>
    <w:p w14:paraId="689D8007" w14:textId="77777777" w:rsidR="00BC5284" w:rsidRDefault="00BC5284">
      <w:pPr>
        <w:pStyle w:val="Text"/>
      </w:pPr>
      <w:r>
        <w:t>The Chair and Executive Officer of the Heritage Council to meet with DELWP leadership to discuss the findings of the Review.</w:t>
      </w:r>
    </w:p>
    <w:p w14:paraId="7D457A03" w14:textId="77777777" w:rsidR="00BC5284" w:rsidRDefault="00BC5284">
      <w:pPr>
        <w:pStyle w:val="Headingsubtitle1"/>
        <w:rPr>
          <w:color w:val="000000"/>
        </w:rPr>
      </w:pPr>
      <w:r>
        <w:rPr>
          <w:color w:val="000000"/>
        </w:rPr>
        <w:lastRenderedPageBreak/>
        <w:t>5.2 Practical improvements</w:t>
      </w:r>
    </w:p>
    <w:p w14:paraId="6D66AD63" w14:textId="77777777" w:rsidR="00BC5284" w:rsidRDefault="00BC5284">
      <w:pPr>
        <w:pStyle w:val="Text"/>
      </w:pPr>
      <w:r>
        <w:t>A total of eight practical improvements are recommended. It is recommended that the Heritage Council, in association with other organisations, begin working on these as outlined below.</w:t>
      </w:r>
    </w:p>
    <w:p w14:paraId="1716A92D" w14:textId="77777777" w:rsidR="00BC5284" w:rsidRDefault="00EC1C86">
      <w:pPr>
        <w:pStyle w:val="HeadingSubtitle3-PI1-red"/>
        <w:rPr>
          <w:color w:val="000000"/>
        </w:rPr>
      </w:pPr>
      <w:r>
        <w:rPr>
          <w:color w:val="000000"/>
        </w:rPr>
        <w:t xml:space="preserve">Practical improvement 1 – </w:t>
      </w:r>
      <w:r w:rsidR="00BC5284">
        <w:rPr>
          <w:color w:val="000000"/>
        </w:rPr>
        <w:t>Develop a ‘demolition by neglect’ model local law</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73FFA" w:rsidRPr="00352FC0" w14:paraId="729E49FE" w14:textId="77777777" w:rsidTr="00B73FFA">
        <w:trPr>
          <w:trHeight w:val="60"/>
        </w:trPr>
        <w:tc>
          <w:tcPr>
            <w:tcW w:w="737"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5B64E0B6"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480D9D41"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4D56991C"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0E3CA07D"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46E5A2AB"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3D281E3F"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D89873D"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01613A3" w14:textId="77777777" w:rsidR="00BC5284" w:rsidRPr="00BC5284" w:rsidRDefault="00BC5284">
            <w:pPr>
              <w:pStyle w:val="TableText"/>
            </w:pPr>
            <w:r w:rsidRPr="00BC5284">
              <w:t>NT, LGSC (HCV)</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9FC444F" w14:textId="77777777" w:rsidR="00BC5284" w:rsidRPr="00BC5284" w:rsidRDefault="00BC5284">
            <w:pPr>
              <w:pStyle w:val="TableText"/>
            </w:pPr>
            <w:r w:rsidRPr="00BC5284">
              <w:t>Low–medium</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DD55A58" w14:textId="77777777" w:rsidR="00BC5284" w:rsidRPr="00BC5284" w:rsidRDefault="00BC5284">
            <w:pPr>
              <w:pStyle w:val="TableText"/>
            </w:pPr>
            <w:r w:rsidRPr="00BC5284">
              <w:t>Medium</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CF7E565" w14:textId="77777777" w:rsidR="00BC5284" w:rsidRPr="00BC5284" w:rsidRDefault="00BC5284">
            <w:pPr>
              <w:pStyle w:val="TableText"/>
            </w:pPr>
            <w:r w:rsidRPr="00BC5284">
              <w:t>Oct 2020</w:t>
            </w:r>
          </w:p>
        </w:tc>
      </w:tr>
    </w:tbl>
    <w:p w14:paraId="471D2676" w14:textId="77777777" w:rsidR="00BC5284" w:rsidRDefault="00BC5284">
      <w:pPr>
        <w:pStyle w:val="Text"/>
        <w:rPr>
          <w:rFonts w:ascii="FreightSans Pro Bold" w:hAnsi="FreightSans Pro Bold" w:cs="FreightSans Pro Bold"/>
          <w:b/>
          <w:bCs/>
          <w:sz w:val="22"/>
          <w:szCs w:val="22"/>
        </w:rPr>
      </w:pPr>
    </w:p>
    <w:p w14:paraId="445952F6" w14:textId="77777777" w:rsidR="00BC5284" w:rsidRDefault="00BC5284">
      <w:pPr>
        <w:pStyle w:val="HeadingSubtitle4"/>
        <w:rPr>
          <w:color w:val="000000"/>
        </w:rPr>
      </w:pPr>
      <w:r>
        <w:rPr>
          <w:color w:val="000000"/>
        </w:rPr>
        <w:t>Action 1 – Liaise with the National Trust</w:t>
      </w:r>
    </w:p>
    <w:p w14:paraId="31D075E5" w14:textId="77777777" w:rsidR="00BC5284" w:rsidRDefault="00BC5284">
      <w:pPr>
        <w:pStyle w:val="Text"/>
      </w:pPr>
      <w:r>
        <w:t xml:space="preserve">The Heritage Council to: </w:t>
      </w:r>
    </w:p>
    <w:p w14:paraId="25479375" w14:textId="77777777" w:rsidR="00BC5284" w:rsidRDefault="00BC5284">
      <w:pPr>
        <w:pStyle w:val="TextBulletsPara"/>
      </w:pPr>
      <w:r>
        <w:rPr>
          <w:rStyle w:val="TextBullet"/>
        </w:rPr>
        <w:t>•</w:t>
      </w:r>
      <w:r>
        <w:rPr>
          <w:rStyle w:val="TextBullet"/>
        </w:rPr>
        <w:tab/>
      </w:r>
      <w:r>
        <w:t>liaise with the National Trust regarding the outcomes of the 2014 ‘lab’ on ‘demolition by neglect’ and the present status of a model local law requiring the maintenance of local heritage places</w:t>
      </w:r>
    </w:p>
    <w:p w14:paraId="45F0AAFF" w14:textId="77777777" w:rsidR="00BC5284" w:rsidRDefault="00BC5284">
      <w:pPr>
        <w:pStyle w:val="TextBulletsPara"/>
      </w:pPr>
      <w:r>
        <w:rPr>
          <w:rStyle w:val="TextBullet"/>
        </w:rPr>
        <w:t>•</w:t>
      </w:r>
      <w:r>
        <w:rPr>
          <w:rStyle w:val="TextBullet"/>
        </w:rPr>
        <w:tab/>
      </w:r>
      <w:r>
        <w:t>investigate the councils who have such a local law in place to discuss how it is working.</w:t>
      </w:r>
    </w:p>
    <w:p w14:paraId="3CDCDB05" w14:textId="77777777" w:rsidR="00BC5284" w:rsidRDefault="00BC5284">
      <w:pPr>
        <w:pStyle w:val="HeadingSubtitle4"/>
        <w:rPr>
          <w:color w:val="000000"/>
        </w:rPr>
      </w:pPr>
      <w:r>
        <w:rPr>
          <w:color w:val="000000"/>
        </w:rPr>
        <w:t>Action 2 – Develop publishable model local law &amp; instructions on its use</w:t>
      </w:r>
    </w:p>
    <w:p w14:paraId="7FCB153F" w14:textId="77777777" w:rsidR="00BC5284" w:rsidRDefault="00BC5284">
      <w:pPr>
        <w:pStyle w:val="Text"/>
      </w:pPr>
      <w:r>
        <w:t xml:space="preserve">The Heritage Council to work with the LGSC (HCV) to </w:t>
      </w:r>
      <w:r>
        <w:rPr>
          <w:spacing w:val="-4"/>
        </w:rPr>
        <w:t>commission a lawyer to develop the model local law and create</w:t>
      </w:r>
      <w:r>
        <w:t xml:space="preserve"> a guide for council officers on how it can be implemented.</w:t>
      </w:r>
    </w:p>
    <w:p w14:paraId="2CFB0833" w14:textId="77777777" w:rsidR="00BC5284" w:rsidRDefault="00BC5284">
      <w:pPr>
        <w:pStyle w:val="HeadingSubtitle4"/>
        <w:rPr>
          <w:color w:val="000000"/>
        </w:rPr>
      </w:pPr>
      <w:r>
        <w:rPr>
          <w:color w:val="000000"/>
        </w:rPr>
        <w:t>Action 3 – Launch model local law</w:t>
      </w:r>
    </w:p>
    <w:p w14:paraId="35765F2D" w14:textId="77777777" w:rsidR="00BC5284" w:rsidRDefault="00BC5284">
      <w:pPr>
        <w:pStyle w:val="Text"/>
      </w:pPr>
      <w:r>
        <w:t>The Heritage Council to work with the LGSC (HCV) to launch the model local law and its guide to councils, and hold training sessions on how it can be used. The model local law and instructions should be launched, either at a face-to-face event or via email or mail. Training sessions should be held, either in person or online.</w:t>
      </w:r>
    </w:p>
    <w:p w14:paraId="192E023D" w14:textId="77777777" w:rsidR="00BC5284" w:rsidRDefault="00EC1C86">
      <w:pPr>
        <w:pStyle w:val="HeadingSubtitle3-PI1-red"/>
        <w:rPr>
          <w:color w:val="000000"/>
        </w:rPr>
      </w:pPr>
      <w:r>
        <w:rPr>
          <w:color w:val="000000"/>
        </w:rPr>
        <w:t xml:space="preserve">Practical improvement 2 – </w:t>
      </w:r>
      <w:r w:rsidR="00BC5284">
        <w:rPr>
          <w:color w:val="000000"/>
        </w:rPr>
        <w:t>Create ‘Heritage 101’ information pack for councils and the public</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4BA32664" w14:textId="77777777" w:rsidTr="00B73FFA">
        <w:trPr>
          <w:trHeight w:val="60"/>
        </w:trPr>
        <w:tc>
          <w:tcPr>
            <w:tcW w:w="737"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15189D2E"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6C5297F8"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379CF004"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1AB0AB16"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06A03879"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00B91992"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D049927"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4744A4E" w14:textId="77777777" w:rsidR="00BC5284" w:rsidRPr="00BC5284" w:rsidRDefault="00BC5284">
            <w:pPr>
              <w:pStyle w:val="TableText"/>
            </w:pPr>
            <w:r w:rsidRPr="00BC5284">
              <w:t>LGSC (HCV)</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C5363B5" w14:textId="77777777" w:rsidR="00BC5284" w:rsidRPr="00BC5284" w:rsidRDefault="00BC5284">
            <w:pPr>
              <w:pStyle w:val="TableText"/>
            </w:pPr>
            <w:r w:rsidRPr="00BC5284">
              <w:t>Medium</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624FAA2" w14:textId="77777777" w:rsidR="00BC5284" w:rsidRPr="00BC5284" w:rsidRDefault="00BC5284">
            <w:pPr>
              <w:pStyle w:val="TableText"/>
            </w:pPr>
            <w:r w:rsidRPr="00BC5284">
              <w:t>High</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3AFF790" w14:textId="77777777" w:rsidR="00BC5284" w:rsidRPr="00BC5284" w:rsidRDefault="00BC5284">
            <w:pPr>
              <w:pStyle w:val="TableText"/>
            </w:pPr>
            <w:r w:rsidRPr="00BC5284">
              <w:t>Oct</w:t>
            </w:r>
            <w:r w:rsidRPr="00BC5284">
              <w:br/>
              <w:t>2020</w:t>
            </w:r>
          </w:p>
        </w:tc>
      </w:tr>
    </w:tbl>
    <w:p w14:paraId="5816A9BD" w14:textId="77777777" w:rsidR="00BC5284" w:rsidRDefault="00BC5284">
      <w:pPr>
        <w:pStyle w:val="Text"/>
        <w:rPr>
          <w:rFonts w:ascii="FreightSans Pro Bold" w:hAnsi="FreightSans Pro Bold" w:cs="FreightSans Pro Bold"/>
          <w:b/>
          <w:bCs/>
          <w:sz w:val="22"/>
          <w:szCs w:val="22"/>
        </w:rPr>
      </w:pPr>
    </w:p>
    <w:p w14:paraId="787A9E3C" w14:textId="77777777" w:rsidR="00BC5284" w:rsidRDefault="00BC5284">
      <w:pPr>
        <w:pStyle w:val="HeadingSubtitle4"/>
        <w:rPr>
          <w:color w:val="000000"/>
        </w:rPr>
      </w:pPr>
      <w:r>
        <w:rPr>
          <w:color w:val="000000"/>
        </w:rPr>
        <w:t>Action 1 – Determine needed information</w:t>
      </w:r>
    </w:p>
    <w:p w14:paraId="131562A7" w14:textId="77777777" w:rsidR="00BC5284" w:rsidRDefault="00BC5284">
      <w:pPr>
        <w:pStyle w:val="Text"/>
      </w:pPr>
      <w:r>
        <w:t>The Heritage Council to work with the LGSC (HCV) to review the identified knowledge gaps in order to determine what information is needed and whether any of this information already exists.</w:t>
      </w:r>
    </w:p>
    <w:p w14:paraId="36766813" w14:textId="77777777" w:rsidR="00BC5284" w:rsidRDefault="00BC5284">
      <w:pPr>
        <w:pStyle w:val="HeadingSubtitle4"/>
        <w:rPr>
          <w:color w:val="000000"/>
        </w:rPr>
      </w:pPr>
      <w:r>
        <w:rPr>
          <w:color w:val="000000"/>
        </w:rPr>
        <w:t>Action 2 – Develop communication material</w:t>
      </w:r>
    </w:p>
    <w:p w14:paraId="77837EB6" w14:textId="77777777" w:rsidR="00BC5284" w:rsidRDefault="00BC5284">
      <w:pPr>
        <w:pStyle w:val="Text"/>
        <w:rPr>
          <w:spacing w:val="-3"/>
        </w:rPr>
      </w:pPr>
      <w:r>
        <w:rPr>
          <w:spacing w:val="-2"/>
        </w:rPr>
        <w:t>The Heritage Council to develop material that addresses the</w:t>
      </w:r>
      <w:r>
        <w:t xml:space="preserve"> identified knowledge gaps using existing information and seeking out additional information in consultation with the LGSC (HCV). This material may need to be professionally </w:t>
      </w:r>
      <w:r>
        <w:rPr>
          <w:spacing w:val="-3"/>
        </w:rPr>
        <w:t>designed and be available in both online and hard copy forms.</w:t>
      </w:r>
    </w:p>
    <w:p w14:paraId="0AA0F5D8" w14:textId="77777777" w:rsidR="00BC5284" w:rsidRDefault="00BC5284">
      <w:pPr>
        <w:pStyle w:val="HeadingSubtitle4"/>
        <w:rPr>
          <w:color w:val="000000"/>
        </w:rPr>
      </w:pPr>
      <w:r>
        <w:rPr>
          <w:color w:val="000000"/>
        </w:rPr>
        <w:t>Action 3 – Distribute communication material</w:t>
      </w:r>
    </w:p>
    <w:p w14:paraId="5C041E55" w14:textId="77777777" w:rsidR="00BC5284" w:rsidRDefault="00BC5284">
      <w:pPr>
        <w:pStyle w:val="Text"/>
      </w:pPr>
      <w:r>
        <w:t>The Heritage Council to distribute material to councils, MAV, the National Trust and historical societies. Hard copies should be distributed at relevant Heritage Council events, such as the community roadshows.</w:t>
      </w:r>
    </w:p>
    <w:p w14:paraId="250C8BEE" w14:textId="77777777" w:rsidR="00BC5284" w:rsidRDefault="00EC1C86">
      <w:pPr>
        <w:pStyle w:val="HeadingSubtitle3-PI1-red"/>
        <w:rPr>
          <w:color w:val="000000"/>
        </w:rPr>
      </w:pPr>
      <w:r>
        <w:rPr>
          <w:color w:val="000000"/>
        </w:rPr>
        <w:lastRenderedPageBreak/>
        <w:t xml:space="preserve">Practical improvement 3 – </w:t>
      </w:r>
      <w:r w:rsidR="00BC5284">
        <w:rPr>
          <w:color w:val="000000"/>
        </w:rPr>
        <w:t>Create ‘Heritage 101’ induction pack for new councillors</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746D1591" w14:textId="77777777" w:rsidTr="00B73FFA">
        <w:trPr>
          <w:trHeight w:val="60"/>
        </w:trPr>
        <w:tc>
          <w:tcPr>
            <w:tcW w:w="737"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6D60F643"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3BD44926"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5A07045B"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5A3EF0D2"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3BA9995B"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531F2684"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7E14FE4"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9C2AD2E" w14:textId="77777777" w:rsidR="00BC5284" w:rsidRPr="00BC5284" w:rsidRDefault="00BC5284">
            <w:pPr>
              <w:pStyle w:val="TableText"/>
            </w:pPr>
            <w:r w:rsidRPr="00BC5284">
              <w:t>MAV</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C7A7EE5" w14:textId="77777777" w:rsidR="00BC5284" w:rsidRPr="00BC5284" w:rsidRDefault="00BC5284">
            <w:pPr>
              <w:pStyle w:val="TableText"/>
            </w:pPr>
            <w:r w:rsidRPr="00BC5284">
              <w:t>Low</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2631872" w14:textId="77777777" w:rsidR="00BC5284" w:rsidRPr="00BC5284" w:rsidRDefault="00BC5284">
            <w:pPr>
              <w:pStyle w:val="TableText"/>
            </w:pPr>
            <w:r w:rsidRPr="00BC5284">
              <w:t>High</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EAD8DA1" w14:textId="77777777" w:rsidR="00BC5284" w:rsidRPr="00BC5284" w:rsidRDefault="00BC5284">
            <w:pPr>
              <w:pStyle w:val="TableText"/>
            </w:pPr>
            <w:r w:rsidRPr="00BC5284">
              <w:t>Sept</w:t>
            </w:r>
            <w:r w:rsidRPr="00BC5284">
              <w:br/>
              <w:t>2020</w:t>
            </w:r>
          </w:p>
        </w:tc>
      </w:tr>
    </w:tbl>
    <w:p w14:paraId="6D157C4E" w14:textId="77777777" w:rsidR="00BC5284" w:rsidRDefault="00BC5284">
      <w:pPr>
        <w:pStyle w:val="Text"/>
        <w:rPr>
          <w:rFonts w:ascii="FreightSans Pro Bold" w:hAnsi="FreightSans Pro Bold" w:cs="FreightSans Pro Bold"/>
          <w:b/>
          <w:bCs/>
          <w:sz w:val="22"/>
          <w:szCs w:val="22"/>
        </w:rPr>
      </w:pPr>
    </w:p>
    <w:p w14:paraId="6C4E9AD1" w14:textId="77777777" w:rsidR="00BC5284" w:rsidRDefault="00BC5284">
      <w:pPr>
        <w:pStyle w:val="HeadingSubtitle4"/>
        <w:rPr>
          <w:color w:val="000000"/>
        </w:rPr>
      </w:pPr>
      <w:r>
        <w:rPr>
          <w:color w:val="000000"/>
        </w:rPr>
        <w:t>Action 1 – Determine needed information</w:t>
      </w:r>
    </w:p>
    <w:p w14:paraId="1E964614" w14:textId="77777777" w:rsidR="00BC5284" w:rsidRDefault="00BC5284">
      <w:pPr>
        <w:pStyle w:val="Text"/>
      </w:pPr>
      <w:r>
        <w:t xml:space="preserve">The Heritage Council to liaise with MAV about what information is already given to councillors as part of their </w:t>
      </w:r>
      <w:r>
        <w:rPr>
          <w:spacing w:val="-3"/>
        </w:rPr>
        <w:t>induction training and review what local heritage information</w:t>
      </w:r>
      <w:r>
        <w:t xml:space="preserve"> is needed to make appropriate council decisions.</w:t>
      </w:r>
    </w:p>
    <w:p w14:paraId="060B3460" w14:textId="77777777" w:rsidR="00BC5284" w:rsidRDefault="00BC5284">
      <w:pPr>
        <w:pStyle w:val="HeadingSubtitle4"/>
        <w:rPr>
          <w:color w:val="000000"/>
        </w:rPr>
      </w:pPr>
      <w:r>
        <w:rPr>
          <w:color w:val="000000"/>
        </w:rPr>
        <w:t>Action 2 – Develop induction pack</w:t>
      </w:r>
    </w:p>
    <w:p w14:paraId="76E508CF" w14:textId="77777777" w:rsidR="00BC5284" w:rsidRDefault="00BC5284">
      <w:pPr>
        <w:pStyle w:val="Text"/>
      </w:pPr>
      <w:r>
        <w:t>The Heritage Council to work with MAV to develop an induction training pack containing a slideshow and notes that explains the local heritage system in Victoria, including council processes. The pack should also explain the obligation of councils to ensure their local heritage is protected and the benefits that heritage protection offers to councils and the local community.</w:t>
      </w:r>
    </w:p>
    <w:p w14:paraId="4B8FE768" w14:textId="77777777" w:rsidR="00BC5284" w:rsidRDefault="00BC5284">
      <w:pPr>
        <w:pStyle w:val="HeadingSubtitle4"/>
        <w:rPr>
          <w:color w:val="000000"/>
        </w:rPr>
      </w:pPr>
      <w:r>
        <w:rPr>
          <w:color w:val="000000"/>
        </w:rPr>
        <w:t>Action 3 – Distribute induction pack</w:t>
      </w:r>
    </w:p>
    <w:p w14:paraId="6AAD6482" w14:textId="77777777" w:rsidR="00BC5284" w:rsidRDefault="00BC5284">
      <w:pPr>
        <w:pStyle w:val="Text"/>
      </w:pPr>
      <w:r>
        <w:t>The Heritage Council to work with MAV to determine the best way to distribute the induction training pack.</w:t>
      </w:r>
    </w:p>
    <w:p w14:paraId="18F5C65E" w14:textId="77777777" w:rsidR="00BC5284" w:rsidRDefault="00EC1C86" w:rsidP="00EC1C86">
      <w:pPr>
        <w:pStyle w:val="HeadingSubtitle3-PI1-red"/>
      </w:pPr>
      <w:r>
        <w:rPr>
          <w:color w:val="000000"/>
        </w:rPr>
        <w:t xml:space="preserve">Practical improvement 4 – </w:t>
      </w:r>
      <w:r w:rsidR="00BC5284">
        <w:rPr>
          <w:color w:val="000000"/>
        </w:rPr>
        <w:t>Facilitate discussions to clarify demolition application processes</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13BA970B" w14:textId="77777777" w:rsidTr="00B73FFA">
        <w:trPr>
          <w:trHeight w:val="60"/>
        </w:trPr>
        <w:tc>
          <w:tcPr>
            <w:tcW w:w="737"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27C7B048"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32C29379"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6DA05036"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3A321DDB"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2FB02650"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7B53601E"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8413B83"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9950B78" w14:textId="77777777" w:rsidR="00BC5284" w:rsidRPr="00BC5284" w:rsidRDefault="00BC5284">
            <w:pPr>
              <w:pStyle w:val="TableText"/>
            </w:pPr>
            <w:r w:rsidRPr="00BC5284">
              <w:t>DELWP</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5E5F699" w14:textId="77777777" w:rsidR="00BC5284" w:rsidRPr="00BC5284" w:rsidRDefault="00BC5284">
            <w:pPr>
              <w:pStyle w:val="TableText"/>
            </w:pPr>
            <w:r w:rsidRPr="00BC5284">
              <w:t>Low–medium</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2323D19" w14:textId="77777777" w:rsidR="00BC5284" w:rsidRPr="00BC5284" w:rsidRDefault="00BC5284">
            <w:pPr>
              <w:pStyle w:val="TableText"/>
            </w:pPr>
            <w:r w:rsidRPr="00BC5284">
              <w:t>Medium</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C5EC90B" w14:textId="77777777" w:rsidR="00BC5284" w:rsidRPr="00BC5284" w:rsidRDefault="00BC5284">
            <w:pPr>
              <w:pStyle w:val="TableText"/>
            </w:pPr>
            <w:r w:rsidRPr="00BC5284">
              <w:t xml:space="preserve">Nov </w:t>
            </w:r>
            <w:r w:rsidRPr="00BC5284">
              <w:br/>
              <w:t>2020</w:t>
            </w:r>
          </w:p>
        </w:tc>
      </w:tr>
    </w:tbl>
    <w:p w14:paraId="489B56C9" w14:textId="77777777" w:rsidR="00BC5284" w:rsidRDefault="00BC5284">
      <w:pPr>
        <w:pStyle w:val="Text"/>
        <w:rPr>
          <w:rFonts w:ascii="FreightSans Pro Bold" w:hAnsi="FreightSans Pro Bold" w:cs="FreightSans Pro Bold"/>
          <w:b/>
          <w:bCs/>
          <w:sz w:val="22"/>
          <w:szCs w:val="22"/>
        </w:rPr>
      </w:pPr>
    </w:p>
    <w:p w14:paraId="0A5D287A" w14:textId="77777777" w:rsidR="00BC5284" w:rsidRDefault="00BC5284">
      <w:pPr>
        <w:pStyle w:val="HeadingSubtitle4"/>
        <w:rPr>
          <w:color w:val="000000"/>
        </w:rPr>
      </w:pPr>
      <w:r>
        <w:rPr>
          <w:color w:val="000000"/>
        </w:rPr>
        <w:t>Action 1 – Facilitate discussions</w:t>
      </w:r>
    </w:p>
    <w:p w14:paraId="32E6806D" w14:textId="77777777" w:rsidR="00BC5284" w:rsidRDefault="00BC5284">
      <w:pPr>
        <w:pStyle w:val="Text"/>
      </w:pPr>
      <w:r>
        <w:t xml:space="preserve">The Heritage Council to facilitate discussions with the LGSC (HCV) and DELWP Planning regarding the guidance that is required to help councils understand the best practice for applying interim HOs and managing demolition applications under Section 29A of the </w:t>
      </w:r>
      <w:r>
        <w:rPr>
          <w:rStyle w:val="TextItalic"/>
          <w:iCs/>
        </w:rPr>
        <w:t>Building Act 1993</w:t>
      </w:r>
      <w:r>
        <w:t xml:space="preserve"> on places of potential heritage significance. The outcome of these discussions will determine the appropriate next steps and what further support the Heritage Council and the LGSC (HCV) can provide in the development of any guidance required.</w:t>
      </w:r>
    </w:p>
    <w:p w14:paraId="4FD9A09A" w14:textId="77777777" w:rsidR="00BC5284" w:rsidRDefault="00EC1C86">
      <w:pPr>
        <w:pStyle w:val="HeadingSubtitle3-PI1-red"/>
        <w:rPr>
          <w:color w:val="000000"/>
        </w:rPr>
      </w:pPr>
      <w:r>
        <w:rPr>
          <w:color w:val="000000"/>
        </w:rPr>
        <w:t xml:space="preserve">Practical improvement 5 – </w:t>
      </w:r>
      <w:r w:rsidR="00BC5284">
        <w:rPr>
          <w:color w:val="000000"/>
        </w:rPr>
        <w:t>Local government heritage forum expansion</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0D0FDBE2" w14:textId="77777777" w:rsidTr="00B73FFA">
        <w:trPr>
          <w:trHeight w:val="60"/>
        </w:trPr>
        <w:tc>
          <w:tcPr>
            <w:tcW w:w="737"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6AF306F7"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085F1577"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42C720B7"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6C3EE5F1"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auto"/>
              <w:bottom w:val="single" w:sz="6" w:space="0" w:color="000000"/>
              <w:right w:val="single" w:sz="6" w:space="0" w:color="auto"/>
            </w:tcBorders>
            <w:shd w:val="clear" w:color="313E48" w:fill="auto"/>
            <w:tcMar>
              <w:top w:w="113" w:type="dxa"/>
              <w:left w:w="80" w:type="dxa"/>
              <w:bottom w:w="113" w:type="dxa"/>
              <w:right w:w="80" w:type="dxa"/>
            </w:tcMar>
          </w:tcPr>
          <w:p w14:paraId="44084A1C"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15B5112A"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4731A0F"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EBB8AB0" w14:textId="77777777" w:rsidR="00BC5284" w:rsidRPr="00BC5284" w:rsidRDefault="00BC5284">
            <w:pPr>
              <w:pStyle w:val="TableText"/>
            </w:pPr>
            <w:r w:rsidRPr="00BC5284">
              <w:t>LGSC (HCV)</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BC46897" w14:textId="77777777" w:rsidR="00BC5284" w:rsidRPr="00BC5284" w:rsidRDefault="00BC5284">
            <w:pPr>
              <w:pStyle w:val="TableText"/>
            </w:pPr>
            <w:r w:rsidRPr="00BC5284">
              <w:t>Medium–high</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8ED3CD9" w14:textId="77777777" w:rsidR="00BC5284" w:rsidRPr="00BC5284" w:rsidRDefault="00BC5284">
            <w:pPr>
              <w:pStyle w:val="TableText"/>
            </w:pPr>
            <w:r w:rsidRPr="00BC5284">
              <w:t>Medium</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044426C" w14:textId="77777777" w:rsidR="00BC5284" w:rsidRPr="00BC5284" w:rsidRDefault="00BC5284">
            <w:pPr>
              <w:pStyle w:val="TableText"/>
            </w:pPr>
            <w:r w:rsidRPr="00BC5284">
              <w:t>Oct</w:t>
            </w:r>
            <w:r w:rsidRPr="00BC5284">
              <w:br/>
              <w:t>2020</w:t>
            </w:r>
          </w:p>
        </w:tc>
      </w:tr>
    </w:tbl>
    <w:p w14:paraId="5E602942" w14:textId="77777777" w:rsidR="00BC5284" w:rsidRDefault="00BC5284">
      <w:pPr>
        <w:pStyle w:val="Text"/>
        <w:rPr>
          <w:rFonts w:ascii="FreightSans Pro Bold" w:hAnsi="FreightSans Pro Bold" w:cs="FreightSans Pro Bold"/>
          <w:b/>
          <w:bCs/>
          <w:sz w:val="22"/>
          <w:szCs w:val="22"/>
        </w:rPr>
      </w:pPr>
    </w:p>
    <w:p w14:paraId="2A1BC13D" w14:textId="77777777" w:rsidR="00BC5284" w:rsidRDefault="00BC5284">
      <w:pPr>
        <w:pStyle w:val="HeadingSubtitle4"/>
        <w:rPr>
          <w:color w:val="000000"/>
        </w:rPr>
      </w:pPr>
      <w:r>
        <w:rPr>
          <w:color w:val="000000"/>
        </w:rPr>
        <w:t xml:space="preserve">Action 1 – Create proposal for new forum structure and content for Heritage Council approval  </w:t>
      </w:r>
    </w:p>
    <w:p w14:paraId="05D10918" w14:textId="77777777" w:rsidR="00BC5284" w:rsidRDefault="00BC5284">
      <w:pPr>
        <w:pStyle w:val="Text"/>
      </w:pPr>
      <w:r>
        <w:t>The LGSC (HCV) to develop a detailed proposal for consideration at the December 2020 Heritage Council meeting for holding two local government heritage forums a year commencing in FY2021–22. The proposal will outline the focus, structure, timing and costs of each forum.</w:t>
      </w:r>
    </w:p>
    <w:p w14:paraId="3F569F95" w14:textId="77777777" w:rsidR="00BC5284" w:rsidRDefault="00EC1C86">
      <w:pPr>
        <w:pStyle w:val="HeadingSubtitle3-PI1-red"/>
        <w:rPr>
          <w:color w:val="000000"/>
        </w:rPr>
      </w:pPr>
      <w:r>
        <w:rPr>
          <w:color w:val="000000"/>
        </w:rPr>
        <w:lastRenderedPageBreak/>
        <w:t xml:space="preserve">Practical improvement 6 – </w:t>
      </w:r>
      <w:r w:rsidR="00BC5284">
        <w:rPr>
          <w:color w:val="000000"/>
        </w:rPr>
        <w:t>Clarification of the role of HERMES and the VHD</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73FFA" w:rsidRPr="00352FC0" w14:paraId="395CADE1" w14:textId="77777777" w:rsidTr="00B73FFA">
        <w:trPr>
          <w:trHeight w:val="60"/>
        </w:trPr>
        <w:tc>
          <w:tcPr>
            <w:tcW w:w="737"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7934E401"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7D1BE223"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31BF4896"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12505D50"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30189018"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79E4ED73"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3875D51"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B13B853" w14:textId="77777777" w:rsidR="00BC5284" w:rsidRPr="00BC5284" w:rsidRDefault="00BC5284">
            <w:pPr>
              <w:pStyle w:val="TableText"/>
            </w:pPr>
            <w:r w:rsidRPr="00BC5284">
              <w:t>Heritage Victoria</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E93486D" w14:textId="77777777" w:rsidR="00BC5284" w:rsidRPr="00BC5284" w:rsidRDefault="00BC5284">
            <w:pPr>
              <w:pStyle w:val="TableText"/>
            </w:pPr>
            <w:r w:rsidRPr="00BC5284">
              <w:t>Low–medium</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34E7C9A" w14:textId="77777777" w:rsidR="00BC5284" w:rsidRPr="00BC5284" w:rsidRDefault="00BC5284">
            <w:pPr>
              <w:pStyle w:val="TableText"/>
            </w:pPr>
            <w:r w:rsidRPr="00BC5284">
              <w:t>Medium</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50EF54B" w14:textId="77777777" w:rsidR="00BC5284" w:rsidRPr="00BC5284" w:rsidRDefault="00BC5284">
            <w:pPr>
              <w:pStyle w:val="TableText"/>
            </w:pPr>
            <w:r w:rsidRPr="00BC5284">
              <w:t>Mar</w:t>
            </w:r>
            <w:r w:rsidRPr="00BC5284">
              <w:br/>
              <w:t>2021</w:t>
            </w:r>
          </w:p>
        </w:tc>
      </w:tr>
    </w:tbl>
    <w:p w14:paraId="5E763F40" w14:textId="77777777" w:rsidR="00BC5284" w:rsidRDefault="00BC5284">
      <w:pPr>
        <w:pStyle w:val="Text"/>
        <w:rPr>
          <w:rFonts w:ascii="FreightSans Pro Bold" w:hAnsi="FreightSans Pro Bold" w:cs="FreightSans Pro Bold"/>
          <w:b/>
          <w:bCs/>
          <w:sz w:val="22"/>
          <w:szCs w:val="22"/>
        </w:rPr>
      </w:pPr>
    </w:p>
    <w:p w14:paraId="7965586F" w14:textId="77777777" w:rsidR="00BC5284" w:rsidRDefault="00BC5284">
      <w:pPr>
        <w:pStyle w:val="HeadingSubtitle4"/>
        <w:rPr>
          <w:color w:val="000000"/>
        </w:rPr>
      </w:pPr>
      <w:r>
        <w:rPr>
          <w:color w:val="000000"/>
        </w:rPr>
        <w:t>Action 1 – Facilitate discussions</w:t>
      </w:r>
    </w:p>
    <w:p w14:paraId="3FFE8087" w14:textId="77777777" w:rsidR="00BC5284" w:rsidRDefault="00BC5284">
      <w:pPr>
        <w:pStyle w:val="Text"/>
      </w:pPr>
      <w:r>
        <w:t>The Heritage Council to hold discussions with Heritage Victoria to clarify the role of HERMES and the VHD in relation to local heritage information.</w:t>
      </w:r>
    </w:p>
    <w:p w14:paraId="21958B98" w14:textId="77777777" w:rsidR="00BC5284" w:rsidRDefault="00EC1C86">
      <w:pPr>
        <w:pStyle w:val="HeadingSubtitle3-PI1-red"/>
        <w:rPr>
          <w:color w:val="000000"/>
        </w:rPr>
      </w:pPr>
      <w:r>
        <w:rPr>
          <w:color w:val="000000"/>
        </w:rPr>
        <w:t xml:space="preserve">Practical improvement 7 – </w:t>
      </w:r>
      <w:r w:rsidR="00BC5284">
        <w:rPr>
          <w:color w:val="000000"/>
        </w:rPr>
        <w:t>Advocate a tertiary heritage planning subject</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37D8686F" w14:textId="77777777" w:rsidTr="00B73FFA">
        <w:trPr>
          <w:trHeight w:val="60"/>
        </w:trPr>
        <w:tc>
          <w:tcPr>
            <w:tcW w:w="737"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011903D0"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37B401E1"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0FB8DAE0"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41B182EA"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51F8260B"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0524F8FB"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42B4E82"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C6F7F16" w14:textId="77777777" w:rsidR="00BC5284" w:rsidRPr="00BC5284" w:rsidRDefault="00BC5284">
            <w:pPr>
              <w:pStyle w:val="TableText"/>
            </w:pPr>
            <w:r w:rsidRPr="00BC5284">
              <w:t>–</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C6B28C3" w14:textId="77777777" w:rsidR="00BC5284" w:rsidRPr="00BC5284" w:rsidRDefault="00BC5284">
            <w:pPr>
              <w:pStyle w:val="TableText"/>
            </w:pPr>
            <w:r w:rsidRPr="00BC5284">
              <w:t>Low</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6079C67" w14:textId="77777777" w:rsidR="00BC5284" w:rsidRPr="00BC5284" w:rsidRDefault="00BC5284">
            <w:pPr>
              <w:pStyle w:val="TableText"/>
            </w:pPr>
            <w:r w:rsidRPr="00BC5284">
              <w:t>Low</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D07F3E9" w14:textId="77777777" w:rsidR="00BC5284" w:rsidRPr="00BC5284" w:rsidRDefault="00BC5284">
            <w:pPr>
              <w:pStyle w:val="TableText"/>
            </w:pPr>
            <w:r w:rsidRPr="00BC5284">
              <w:t>Jun</w:t>
            </w:r>
            <w:r w:rsidRPr="00BC5284">
              <w:br/>
              <w:t>2021</w:t>
            </w:r>
          </w:p>
        </w:tc>
      </w:tr>
    </w:tbl>
    <w:p w14:paraId="767065A9" w14:textId="77777777" w:rsidR="00BC5284" w:rsidRDefault="00BC5284">
      <w:pPr>
        <w:pStyle w:val="Text"/>
        <w:rPr>
          <w:rFonts w:ascii="FreightSans Pro Bold" w:hAnsi="FreightSans Pro Bold" w:cs="FreightSans Pro Bold"/>
          <w:b/>
          <w:bCs/>
          <w:sz w:val="22"/>
          <w:szCs w:val="22"/>
        </w:rPr>
      </w:pPr>
    </w:p>
    <w:p w14:paraId="50F8F23D" w14:textId="77777777" w:rsidR="00BC5284" w:rsidRDefault="00BC5284">
      <w:pPr>
        <w:pStyle w:val="HeadingSubtitle4"/>
        <w:rPr>
          <w:color w:val="000000"/>
        </w:rPr>
      </w:pPr>
      <w:r>
        <w:rPr>
          <w:color w:val="000000"/>
        </w:rPr>
        <w:t>Action 1 – Meet with PIA</w:t>
      </w:r>
    </w:p>
    <w:p w14:paraId="7971F316" w14:textId="77777777" w:rsidR="00BC5284" w:rsidRDefault="00BC5284">
      <w:pPr>
        <w:pStyle w:val="Text"/>
      </w:pPr>
      <w:r>
        <w:t>The PIA accredits planning degrees in Australia according to its accreditation policy, which is administered by the PIA Education Committee. The Chair and Executive Officer of the Heritage Council to meet with the PIA, preferably the President and Education Committee, to discuss and advocate the need for a mandatory heritage planning subject as part of all planning degrees.</w:t>
      </w:r>
    </w:p>
    <w:p w14:paraId="23878689" w14:textId="77777777" w:rsidR="00BC5284" w:rsidRDefault="00BC5284">
      <w:pPr>
        <w:pStyle w:val="HeadingSubtitle4"/>
        <w:rPr>
          <w:color w:val="000000"/>
        </w:rPr>
      </w:pPr>
      <w:r>
        <w:rPr>
          <w:color w:val="000000"/>
        </w:rPr>
        <w:t>Action 2 – Meet with universities</w:t>
      </w:r>
    </w:p>
    <w:p w14:paraId="2140ECD8" w14:textId="77777777" w:rsidR="00BC5284" w:rsidRDefault="00BC5284">
      <w:pPr>
        <w:pStyle w:val="Text"/>
      </w:pPr>
      <w:r>
        <w:t>The Chair and Executive Officer of the Heritage Council to meet with those responsible for the curriculum of planning degrees at La Trobe University, Monash University, RMIT University and The University of Melbourne to discuss and advocate the need for a mandatory heritage planning subject as part of all planning degrees.</w:t>
      </w:r>
    </w:p>
    <w:p w14:paraId="52CAE15A" w14:textId="77777777" w:rsidR="00BC5284" w:rsidRDefault="00EC1C86">
      <w:pPr>
        <w:pStyle w:val="HeadingSubtitle3-PI1-red"/>
        <w:rPr>
          <w:color w:val="000000"/>
        </w:rPr>
      </w:pPr>
      <w:r>
        <w:rPr>
          <w:color w:val="000000"/>
        </w:rPr>
        <w:t xml:space="preserve">Practical improvement 8 – </w:t>
      </w:r>
      <w:r w:rsidR="00BC5284">
        <w:rPr>
          <w:color w:val="000000"/>
        </w:rPr>
        <w:t>Promote the use of Heritagechat among planners</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65AE2CF5" w14:textId="77777777" w:rsidTr="00B73FFA">
        <w:trPr>
          <w:trHeight w:val="60"/>
        </w:trPr>
        <w:tc>
          <w:tcPr>
            <w:tcW w:w="737"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4C340D17"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03E70B91"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51B375D8"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6CBCB3D6"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1E4C06D0"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13243B7D"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5FF9336"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8BF6127" w14:textId="77777777" w:rsidR="00BC5284" w:rsidRPr="00BC5284" w:rsidRDefault="00BC5284">
            <w:pPr>
              <w:pStyle w:val="TableText"/>
            </w:pPr>
            <w:r w:rsidRPr="00BC5284">
              <w:t>Heritage Victoria</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0FEC32E" w14:textId="77777777" w:rsidR="00BC5284" w:rsidRPr="00BC5284" w:rsidRDefault="00BC5284">
            <w:pPr>
              <w:pStyle w:val="TableText"/>
            </w:pPr>
            <w:r w:rsidRPr="00BC5284">
              <w:t>Low</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8925D0E" w14:textId="77777777" w:rsidR="00BC5284" w:rsidRPr="00BC5284" w:rsidRDefault="00BC5284">
            <w:pPr>
              <w:pStyle w:val="TableText"/>
            </w:pPr>
            <w:r w:rsidRPr="00BC5284">
              <w:t>Low</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208B569" w14:textId="77777777" w:rsidR="00BC5284" w:rsidRPr="00BC5284" w:rsidRDefault="00BC5284">
            <w:pPr>
              <w:pStyle w:val="TableText"/>
            </w:pPr>
            <w:r w:rsidRPr="00BC5284">
              <w:t>Jan</w:t>
            </w:r>
            <w:r w:rsidRPr="00BC5284">
              <w:br/>
              <w:t>2021</w:t>
            </w:r>
          </w:p>
        </w:tc>
      </w:tr>
    </w:tbl>
    <w:p w14:paraId="700AE2AE" w14:textId="77777777" w:rsidR="00BC5284" w:rsidRDefault="00BC5284">
      <w:pPr>
        <w:pStyle w:val="Text"/>
        <w:rPr>
          <w:rFonts w:ascii="FreightSans Pro Bold" w:hAnsi="FreightSans Pro Bold" w:cs="FreightSans Pro Bold"/>
          <w:b/>
          <w:bCs/>
          <w:sz w:val="22"/>
          <w:szCs w:val="22"/>
        </w:rPr>
      </w:pPr>
    </w:p>
    <w:p w14:paraId="6CA716DC" w14:textId="77777777" w:rsidR="00BC5284" w:rsidRDefault="00BC5284">
      <w:pPr>
        <w:pStyle w:val="HeadingSubtitle4"/>
        <w:rPr>
          <w:color w:val="000000"/>
        </w:rPr>
      </w:pPr>
      <w:r>
        <w:rPr>
          <w:color w:val="000000"/>
        </w:rPr>
        <w:t>Action 1 – Liaise with moderator of Heritagechat</w:t>
      </w:r>
    </w:p>
    <w:p w14:paraId="6124D441" w14:textId="77777777" w:rsidR="00BC5284" w:rsidRDefault="00BC5284">
      <w:pPr>
        <w:pStyle w:val="Text"/>
      </w:pPr>
      <w:r>
        <w:t>Heritagechat is administered by Heritage Victoria. The Heritage Council to liaise with the officer responsible for administration regarding appropriate ways to encourage the better use of Heritagechat among council planners and to understand what extra provisions might be needed to accommodate an influx of new users.</w:t>
      </w:r>
    </w:p>
    <w:p w14:paraId="5CEFB5D3" w14:textId="77777777" w:rsidR="00BC5284" w:rsidRDefault="00BC5284">
      <w:pPr>
        <w:pStyle w:val="HeadingSubtitle4"/>
        <w:rPr>
          <w:color w:val="000000"/>
        </w:rPr>
      </w:pPr>
      <w:r>
        <w:rPr>
          <w:color w:val="000000"/>
        </w:rPr>
        <w:t>Action 2 – Contact council planners</w:t>
      </w:r>
    </w:p>
    <w:p w14:paraId="731F5549" w14:textId="77777777" w:rsidR="00BC5284" w:rsidRDefault="00BC5284">
      <w:pPr>
        <w:pStyle w:val="Text"/>
      </w:pPr>
      <w:r>
        <w:t>The Heritage Council to contact council planners to promote Heritagechat and encourage its use. The Heritage Council should also encourage its use at any Heritage Council event, such as the local government heritage forums or the council information sessions.</w:t>
      </w:r>
    </w:p>
    <w:p w14:paraId="1417D878" w14:textId="77777777" w:rsidR="00BC5284" w:rsidRDefault="00BC5284">
      <w:pPr>
        <w:pStyle w:val="Headingsubtitle1"/>
        <w:rPr>
          <w:color w:val="000000"/>
        </w:rPr>
      </w:pPr>
      <w:r>
        <w:rPr>
          <w:color w:val="000000"/>
        </w:rPr>
        <w:lastRenderedPageBreak/>
        <w:t>5.3 Promotional program</w:t>
      </w:r>
    </w:p>
    <w:p w14:paraId="71D82C50" w14:textId="77777777" w:rsidR="00BC5284" w:rsidRDefault="00BC5284">
      <w:pPr>
        <w:pStyle w:val="Text"/>
      </w:pPr>
      <w:r>
        <w:t>A promotional program is to be run by the Heritage Council to showcase best-practice local cultural heritage protection and management, and the benefits that appreciation and protection of heritage can bring.</w:t>
      </w:r>
    </w:p>
    <w:p w14:paraId="0D28E629" w14:textId="77777777" w:rsidR="00BC5284" w:rsidRDefault="00BC5284">
      <w:pPr>
        <w:pStyle w:val="HeadingSubtitle3-PI1-red"/>
        <w:rPr>
          <w:color w:val="000000"/>
        </w:rPr>
      </w:pPr>
      <w:r>
        <w:rPr>
          <w:color w:val="000000"/>
        </w:rPr>
        <w:t>Promotional program 1 – Council information sessions</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73FFA" w:rsidRPr="00BC5284" w14:paraId="5CA198B8" w14:textId="77777777" w:rsidTr="00B73FFA">
        <w:trPr>
          <w:trHeight w:val="60"/>
        </w:trPr>
        <w:tc>
          <w:tcPr>
            <w:tcW w:w="737"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7512785A" w14:textId="77777777" w:rsidR="00B73FFA" w:rsidRPr="00352FC0" w:rsidRDefault="00B73FFA" w:rsidP="00B73FFA">
            <w:pPr>
              <w:pStyle w:val="TableHeading1"/>
              <w:rPr>
                <w:color w:val="000000"/>
              </w:rPr>
            </w:pPr>
            <w:r w:rsidRPr="00352FC0">
              <w:rPr>
                <w:color w:val="000000"/>
                <w:spacing w:val="-4"/>
              </w:rPr>
              <w:t>Lead agency</w:t>
            </w:r>
          </w:p>
        </w:tc>
        <w:tc>
          <w:tcPr>
            <w:tcW w:w="1508"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609FFD25" w14:textId="77777777" w:rsidR="00B73FFA" w:rsidRPr="00352FC0" w:rsidRDefault="00B73FFA" w:rsidP="00B73FFA">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74BF565F" w14:textId="77777777" w:rsidR="00B73FFA" w:rsidRPr="00352FC0" w:rsidRDefault="00B73FFA" w:rsidP="00B73FFA">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6B6163DC" w14:textId="77777777" w:rsidR="00B73FFA" w:rsidRPr="00352FC0" w:rsidRDefault="00B73FFA" w:rsidP="00B73FFA">
            <w:pPr>
              <w:pStyle w:val="TableHeading1"/>
              <w:rPr>
                <w:color w:val="000000"/>
              </w:rPr>
            </w:pPr>
            <w:r w:rsidRPr="00352FC0">
              <w:rPr>
                <w:color w:val="000000"/>
                <w:spacing w:val="-4"/>
              </w:rPr>
              <w:t>Priority</w:t>
            </w:r>
          </w:p>
        </w:tc>
        <w:tc>
          <w:tcPr>
            <w:tcW w:w="78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1240D7C0" w14:textId="77777777" w:rsidR="00B73FFA" w:rsidRPr="00352FC0" w:rsidRDefault="00B73FFA" w:rsidP="00B73FFA">
            <w:pPr>
              <w:pStyle w:val="TableHeading1"/>
              <w:rPr>
                <w:color w:val="000000"/>
              </w:rPr>
            </w:pPr>
            <w:r w:rsidRPr="00352FC0">
              <w:rPr>
                <w:color w:val="000000"/>
                <w:spacing w:val="-4"/>
              </w:rPr>
              <w:t>Action start date</w:t>
            </w:r>
          </w:p>
        </w:tc>
      </w:tr>
      <w:tr w:rsidR="00BC5284" w:rsidRPr="00BC5284" w14:paraId="1308AB2E"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E6CBEFC"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CE791DA" w14:textId="77777777" w:rsidR="00BC5284" w:rsidRPr="00BC5284" w:rsidRDefault="00BC5284">
            <w:pPr>
              <w:pStyle w:val="TableText"/>
            </w:pPr>
            <w:r w:rsidRPr="00BC5284">
              <w:t>LGSC, council reps.</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AD33CE7" w14:textId="77777777" w:rsidR="00BC5284" w:rsidRPr="00BC5284" w:rsidRDefault="00BC5284">
            <w:pPr>
              <w:pStyle w:val="TableText"/>
            </w:pPr>
            <w:r w:rsidRPr="00BC5284">
              <w:t>Medium</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4D42230" w14:textId="77777777" w:rsidR="00BC5284" w:rsidRPr="00BC5284" w:rsidRDefault="00BC5284">
            <w:pPr>
              <w:pStyle w:val="TableText"/>
            </w:pPr>
            <w:r w:rsidRPr="00BC5284">
              <w:t>High</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9307516" w14:textId="77777777" w:rsidR="00BC5284" w:rsidRPr="00BC5284" w:rsidRDefault="00BC5284">
            <w:pPr>
              <w:pStyle w:val="TableText"/>
            </w:pPr>
            <w:r w:rsidRPr="00BC5284">
              <w:t>Aug</w:t>
            </w:r>
            <w:r w:rsidRPr="00BC5284">
              <w:br/>
              <w:t>2021</w:t>
            </w:r>
          </w:p>
        </w:tc>
      </w:tr>
    </w:tbl>
    <w:p w14:paraId="4E9BC38D" w14:textId="77777777" w:rsidR="00BC5284" w:rsidRDefault="00BC5284">
      <w:pPr>
        <w:pStyle w:val="Text"/>
        <w:rPr>
          <w:rFonts w:ascii="FreightSans Pro Bold" w:hAnsi="FreightSans Pro Bold" w:cs="FreightSans Pro Bold"/>
          <w:b/>
          <w:bCs/>
          <w:sz w:val="22"/>
          <w:szCs w:val="22"/>
        </w:rPr>
      </w:pPr>
    </w:p>
    <w:p w14:paraId="48A9C8C5" w14:textId="77777777" w:rsidR="00BC5284" w:rsidRDefault="00BC5284">
      <w:pPr>
        <w:pStyle w:val="HeadingSubtitle4"/>
        <w:rPr>
          <w:color w:val="000000"/>
        </w:rPr>
      </w:pPr>
      <w:r>
        <w:rPr>
          <w:color w:val="000000"/>
        </w:rPr>
        <w:t>Action 1 – Confirm content with local council representatives</w:t>
      </w:r>
    </w:p>
    <w:p w14:paraId="34881186" w14:textId="77777777" w:rsidR="00BC5284" w:rsidRDefault="00BC5284">
      <w:pPr>
        <w:pStyle w:val="Text"/>
      </w:pPr>
      <w:r>
        <w:t>The Heritage Council to meet with representatives from the case study councils to confirm the suitability and best way for the case study content to be disseminated through information sessions and taken up by other councils.</w:t>
      </w:r>
    </w:p>
    <w:p w14:paraId="631500FE" w14:textId="77777777" w:rsidR="00BC5284" w:rsidRDefault="00BC5284">
      <w:pPr>
        <w:pStyle w:val="HeadingSubtitle4"/>
        <w:rPr>
          <w:color w:val="000000"/>
        </w:rPr>
      </w:pPr>
      <w:r>
        <w:rPr>
          <w:color w:val="000000"/>
        </w:rPr>
        <w:t>Action 2 – Organise information sessions</w:t>
      </w:r>
    </w:p>
    <w:p w14:paraId="37D3FCC5" w14:textId="77777777" w:rsidR="00BC5284" w:rsidRDefault="00BC5284">
      <w:pPr>
        <w:pStyle w:val="Text"/>
      </w:pPr>
      <w:r>
        <w:t>The Heritage Council to organise information sessions for council executives and officers. The sessions need to explain that councils have statutory obligations to ensure their local heritage is protected and affirm the benefits that local heritage can offer their communities, as well as highlight best-practice local heritage protection and management arrangements.</w:t>
      </w:r>
    </w:p>
    <w:p w14:paraId="5A94EC01" w14:textId="77777777" w:rsidR="00BC5284" w:rsidRDefault="00BC5284">
      <w:pPr>
        <w:pStyle w:val="HeadingSubtitle4"/>
        <w:rPr>
          <w:color w:val="000000"/>
        </w:rPr>
      </w:pPr>
      <w:r>
        <w:rPr>
          <w:color w:val="000000"/>
        </w:rPr>
        <w:t>Action 3 – Deliver information sessions</w:t>
      </w:r>
    </w:p>
    <w:p w14:paraId="1E2EC56C" w14:textId="77777777" w:rsidR="00BC5284" w:rsidRDefault="00BC5284">
      <w:pPr>
        <w:pStyle w:val="Text"/>
      </w:pPr>
      <w:r>
        <w:t>The Heritage Council to deliver the information sessions. It is recommended that there are two separate sessions, as there are two separate audiences. The information sessions could be a standalone event or they could be part of another event, such as the MAV Rural and Regional Planning Conference or the Heritage Council local government heritage forum.</w:t>
      </w:r>
    </w:p>
    <w:p w14:paraId="035878A9" w14:textId="77777777" w:rsidR="00BC5284" w:rsidRDefault="00BC5284">
      <w:pPr>
        <w:pStyle w:val="HeadingSubtitle3-PI1-red"/>
        <w:rPr>
          <w:color w:val="000000"/>
        </w:rPr>
      </w:pPr>
      <w:r>
        <w:rPr>
          <w:color w:val="000000"/>
        </w:rPr>
        <w:t>Promotional program 2 – Community roadshow</w:t>
      </w:r>
    </w:p>
    <w:tbl>
      <w:tblPr>
        <w:tblW w:w="0" w:type="auto"/>
        <w:tblInd w:w="80" w:type="dxa"/>
        <w:tblLayout w:type="fixed"/>
        <w:tblCellMar>
          <w:left w:w="0" w:type="dxa"/>
          <w:right w:w="0" w:type="dxa"/>
        </w:tblCellMar>
        <w:tblLook w:val="0000" w:firstRow="0" w:lastRow="0" w:firstColumn="0" w:lastColumn="0" w:noHBand="0" w:noVBand="0"/>
      </w:tblPr>
      <w:tblGrid>
        <w:gridCol w:w="737"/>
        <w:gridCol w:w="1508"/>
        <w:gridCol w:w="1055"/>
        <w:gridCol w:w="793"/>
        <w:gridCol w:w="783"/>
      </w:tblGrid>
      <w:tr w:rsidR="00BC5284" w:rsidRPr="00BC5284" w14:paraId="41AE0F6B" w14:textId="77777777" w:rsidTr="00B73FFA">
        <w:trPr>
          <w:trHeight w:val="60"/>
        </w:trPr>
        <w:tc>
          <w:tcPr>
            <w:tcW w:w="737"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74199640" w14:textId="77777777" w:rsidR="00BC5284" w:rsidRPr="00352FC0" w:rsidRDefault="00BC5284">
            <w:pPr>
              <w:pStyle w:val="TableHeading1"/>
              <w:rPr>
                <w:color w:val="000000"/>
              </w:rPr>
            </w:pPr>
            <w:r w:rsidRPr="00352FC0">
              <w:rPr>
                <w:color w:val="000000"/>
                <w:spacing w:val="-4"/>
              </w:rPr>
              <w:t>Lead agency</w:t>
            </w:r>
          </w:p>
        </w:tc>
        <w:tc>
          <w:tcPr>
            <w:tcW w:w="1508"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14A6118F" w14:textId="77777777" w:rsidR="00BC5284" w:rsidRPr="00352FC0" w:rsidRDefault="00BC5284">
            <w:pPr>
              <w:pStyle w:val="TableHeading1"/>
              <w:rPr>
                <w:color w:val="000000"/>
              </w:rPr>
            </w:pPr>
            <w:r w:rsidRPr="00352FC0">
              <w:rPr>
                <w:color w:val="000000"/>
                <w:spacing w:val="-4"/>
              </w:rPr>
              <w:t>Implementation partner</w:t>
            </w:r>
          </w:p>
        </w:tc>
        <w:tc>
          <w:tcPr>
            <w:tcW w:w="1055"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41FC5B9D" w14:textId="77777777" w:rsidR="00BC5284" w:rsidRPr="00352FC0" w:rsidRDefault="00BC5284">
            <w:pPr>
              <w:pStyle w:val="TableHeading1"/>
              <w:rPr>
                <w:color w:val="000000"/>
              </w:rPr>
            </w:pPr>
            <w:r w:rsidRPr="00352FC0">
              <w:rPr>
                <w:color w:val="000000"/>
                <w:spacing w:val="-4"/>
              </w:rPr>
              <w:t>Heritage Council resourcing</w:t>
            </w:r>
          </w:p>
        </w:tc>
        <w:tc>
          <w:tcPr>
            <w:tcW w:w="79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09536683" w14:textId="77777777" w:rsidR="00BC5284" w:rsidRPr="00352FC0" w:rsidRDefault="00BC5284">
            <w:pPr>
              <w:pStyle w:val="TableHeading1"/>
              <w:rPr>
                <w:color w:val="000000"/>
              </w:rPr>
            </w:pPr>
            <w:r w:rsidRPr="00352FC0">
              <w:rPr>
                <w:color w:val="000000"/>
                <w:spacing w:val="-4"/>
              </w:rPr>
              <w:t>Priority</w:t>
            </w:r>
          </w:p>
        </w:tc>
        <w:tc>
          <w:tcPr>
            <w:tcW w:w="783" w:type="dxa"/>
            <w:tcBorders>
              <w:top w:val="single" w:sz="6" w:space="0" w:color="000000"/>
              <w:left w:val="single" w:sz="6" w:space="0" w:color="000000"/>
              <w:bottom w:val="single" w:sz="6" w:space="0" w:color="000000"/>
              <w:right w:val="single" w:sz="6" w:space="0" w:color="000000"/>
            </w:tcBorders>
            <w:shd w:val="clear" w:color="313E48" w:fill="auto"/>
            <w:tcMar>
              <w:top w:w="113" w:type="dxa"/>
              <w:left w:w="80" w:type="dxa"/>
              <w:bottom w:w="113" w:type="dxa"/>
              <w:right w:w="80" w:type="dxa"/>
            </w:tcMar>
          </w:tcPr>
          <w:p w14:paraId="5F906636" w14:textId="77777777" w:rsidR="00BC5284" w:rsidRPr="00352FC0" w:rsidRDefault="00BC5284">
            <w:pPr>
              <w:pStyle w:val="TableHeading1"/>
              <w:rPr>
                <w:color w:val="000000"/>
              </w:rPr>
            </w:pPr>
            <w:r w:rsidRPr="00352FC0">
              <w:rPr>
                <w:color w:val="000000"/>
                <w:spacing w:val="-4"/>
              </w:rPr>
              <w:t>Action start date</w:t>
            </w:r>
          </w:p>
        </w:tc>
      </w:tr>
      <w:tr w:rsidR="00BC5284" w:rsidRPr="00BC5284" w14:paraId="3FB35576" w14:textId="77777777">
        <w:trPr>
          <w:trHeight w:val="60"/>
        </w:trPr>
        <w:tc>
          <w:tcPr>
            <w:tcW w:w="737"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4D9241A1" w14:textId="77777777" w:rsidR="00BC5284" w:rsidRPr="00BC5284" w:rsidRDefault="00BC5284">
            <w:pPr>
              <w:pStyle w:val="TableText"/>
            </w:pPr>
            <w:r w:rsidRPr="00BC5284">
              <w:t>HCV</w:t>
            </w:r>
          </w:p>
        </w:tc>
        <w:tc>
          <w:tcPr>
            <w:tcW w:w="1508"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EEC9B72" w14:textId="77777777" w:rsidR="00BC5284" w:rsidRPr="00BC5284" w:rsidRDefault="00BC5284">
            <w:pPr>
              <w:pStyle w:val="TableText"/>
            </w:pPr>
            <w:r w:rsidRPr="00BC5284">
              <w:t>–</w:t>
            </w:r>
          </w:p>
        </w:tc>
        <w:tc>
          <w:tcPr>
            <w:tcW w:w="1055"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56145C13" w14:textId="77777777" w:rsidR="00BC5284" w:rsidRPr="00BC5284" w:rsidRDefault="00BC5284">
            <w:pPr>
              <w:pStyle w:val="TableText"/>
            </w:pPr>
            <w:r w:rsidRPr="00BC5284">
              <w:t>Medium–high</w:t>
            </w:r>
          </w:p>
        </w:tc>
        <w:tc>
          <w:tcPr>
            <w:tcW w:w="79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61D21E3" w14:textId="77777777" w:rsidR="00BC5284" w:rsidRPr="00BC5284" w:rsidRDefault="00BC5284">
            <w:pPr>
              <w:pStyle w:val="TableText"/>
            </w:pPr>
            <w:r w:rsidRPr="00BC5284">
              <w:t>High</w:t>
            </w:r>
          </w:p>
        </w:tc>
        <w:tc>
          <w:tcPr>
            <w:tcW w:w="783"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6A9EB44" w14:textId="77777777" w:rsidR="00BC5284" w:rsidRPr="00BC5284" w:rsidRDefault="00BC5284">
            <w:pPr>
              <w:pStyle w:val="TableText"/>
            </w:pPr>
            <w:r w:rsidRPr="00BC5284">
              <w:t>Oct</w:t>
            </w:r>
            <w:r w:rsidRPr="00BC5284">
              <w:br/>
              <w:t>2020</w:t>
            </w:r>
          </w:p>
        </w:tc>
      </w:tr>
    </w:tbl>
    <w:p w14:paraId="5DE26DD3" w14:textId="77777777" w:rsidR="00BC5284" w:rsidRDefault="00BC5284">
      <w:pPr>
        <w:pStyle w:val="Text"/>
        <w:rPr>
          <w:rFonts w:ascii="FreightSans Pro Bold" w:hAnsi="FreightSans Pro Bold" w:cs="FreightSans Pro Bold"/>
          <w:b/>
          <w:bCs/>
          <w:sz w:val="22"/>
          <w:szCs w:val="22"/>
        </w:rPr>
      </w:pPr>
    </w:p>
    <w:p w14:paraId="529C2F50" w14:textId="77777777" w:rsidR="00BC5284" w:rsidRDefault="00BC5284">
      <w:pPr>
        <w:pStyle w:val="HeadingSubtitle4"/>
        <w:rPr>
          <w:color w:val="000000"/>
        </w:rPr>
      </w:pPr>
      <w:r>
        <w:rPr>
          <w:color w:val="000000"/>
        </w:rPr>
        <w:t>Action 1 – Scoping content and requirements for a roadshow</w:t>
      </w:r>
    </w:p>
    <w:p w14:paraId="4CCFECF9" w14:textId="77777777" w:rsidR="00BC5284" w:rsidRDefault="00BC5284">
      <w:pPr>
        <w:pStyle w:val="Text"/>
      </w:pPr>
      <w:r>
        <w:t xml:space="preserve">The Heritage Council Secretariat to scope in detail the requirements for a State-wide community roadshow event </w:t>
      </w:r>
      <w:r>
        <w:rPr>
          <w:spacing w:val="-2"/>
        </w:rPr>
        <w:t>that celebrates local heritage and the benefits that protection</w:t>
      </w:r>
      <w:r>
        <w:t xml:space="preserve"> of heritage can bring to local communities. The roadshow could be a standalone event, which tours the State, or it could be part of events, such as the National Trust’s ‘Australian Heritage Festival’ – or a combination.</w:t>
      </w:r>
    </w:p>
    <w:p w14:paraId="5FC2EF49" w14:textId="77777777" w:rsidR="00BC5284" w:rsidRDefault="00BC5284">
      <w:pPr>
        <w:pStyle w:val="HeadingSubtitle4"/>
        <w:rPr>
          <w:color w:val="000000"/>
        </w:rPr>
      </w:pPr>
      <w:r>
        <w:rPr>
          <w:color w:val="000000"/>
        </w:rPr>
        <w:t>Action 2 – Detailed recommendation</w:t>
      </w:r>
    </w:p>
    <w:p w14:paraId="5462B3C3" w14:textId="77777777" w:rsidR="00BC5284" w:rsidRDefault="00BC5284">
      <w:pPr>
        <w:pStyle w:val="Text"/>
      </w:pPr>
      <w:r>
        <w:t>The Heritage Council Secretariat to present fully scoped and detailed options to the Heritage Council at its February meeting for rollout in FY2021–22.</w:t>
      </w:r>
    </w:p>
    <w:p w14:paraId="69971D6C" w14:textId="77777777" w:rsidR="00BC5284" w:rsidRDefault="00BC5284">
      <w:pPr>
        <w:pStyle w:val="Headingsubtitle1"/>
        <w:rPr>
          <w:color w:val="000000"/>
        </w:rPr>
      </w:pPr>
      <w:r>
        <w:rPr>
          <w:color w:val="000000"/>
        </w:rPr>
        <w:t>5.4 External impacts</w:t>
      </w:r>
    </w:p>
    <w:p w14:paraId="6550B36A" w14:textId="77777777" w:rsidR="00BC5284" w:rsidRDefault="00BC5284">
      <w:pPr>
        <w:pStyle w:val="Text"/>
      </w:pPr>
      <w:r>
        <w:t xml:space="preserve">Since this project was initiated, the budgetary and operational environment has been severely impacted by the 2019–20 Victorian bushfires and the COVID-19 pandemic. It is vital that, even in these difficult circumstances, local heritage is seen as a core aspect of </w:t>
      </w:r>
      <w:r>
        <w:lastRenderedPageBreak/>
        <w:t xml:space="preserve">planning, not a financial burden that can be ignored. As mentioned in Chapter 3, heritage conservation can provide substantial economic benefit to communities, both directly and indirectly. </w:t>
      </w:r>
    </w:p>
    <w:p w14:paraId="63FFDB06" w14:textId="77777777" w:rsidR="00BC5284" w:rsidRDefault="00BC5284">
      <w:pPr>
        <w:pStyle w:val="Text"/>
      </w:pPr>
      <w:r>
        <w:t xml:space="preserve">However, it is important to be realistic about the ability of the State Government, the Heritage Council and other </w:t>
      </w:r>
      <w:r>
        <w:rPr>
          <w:spacing w:val="-2"/>
        </w:rPr>
        <w:t>organisations to deliver the recommendations in the short to</w:t>
      </w:r>
      <w:r>
        <w:t xml:space="preserve"> </w:t>
      </w:r>
      <w:r>
        <w:rPr>
          <w:spacing w:val="-2"/>
        </w:rPr>
        <w:t>medium term. The recommendations outlined above are the</w:t>
      </w:r>
      <w:r>
        <w:t xml:space="preserve"> </w:t>
      </w:r>
      <w:r>
        <w:rPr>
          <w:spacing w:val="-3"/>
        </w:rPr>
        <w:t>best option for achieving substantial change in the protection,</w:t>
      </w:r>
      <w:r>
        <w:t xml:space="preserve"> management and promotion of local heritage. However, given the current environment, alternative implementation options are needed to continue the momentum and allow for incremental improvements to be made. </w:t>
      </w:r>
    </w:p>
    <w:p w14:paraId="69825622" w14:textId="77777777" w:rsidR="00BC5284" w:rsidRDefault="00BC5284">
      <w:pPr>
        <w:pStyle w:val="Text"/>
      </w:pPr>
      <w:r>
        <w:t xml:space="preserve">The following implementation options could be considered as an initial step towards the strategic initiative: </w:t>
      </w:r>
    </w:p>
    <w:p w14:paraId="482F5834" w14:textId="77777777" w:rsidR="00BC5284" w:rsidRDefault="00BC5284">
      <w:pPr>
        <w:pStyle w:val="TextBulletsPara"/>
      </w:pPr>
      <w:r>
        <w:rPr>
          <w:rStyle w:val="TextBullet"/>
        </w:rPr>
        <w:t>•</w:t>
      </w:r>
      <w:r>
        <w:rPr>
          <w:rStyle w:val="TextBullet"/>
        </w:rPr>
        <w:tab/>
      </w:r>
      <w:r>
        <w:t xml:space="preserve">A selection of current DELWP Planning officers could be upskilled (as needed) to work together to deal with heritage queries and provide consistent advice through </w:t>
      </w:r>
    </w:p>
    <w:p w14:paraId="5B579469" w14:textId="77777777" w:rsidR="00BC5284" w:rsidRDefault="00BC5284">
      <w:pPr>
        <w:pStyle w:val="TextBulletsPara"/>
      </w:pPr>
      <w:r>
        <w:rPr>
          <w:rStyle w:val="TextBullet"/>
        </w:rPr>
        <w:t>•</w:t>
      </w:r>
      <w:r>
        <w:rPr>
          <w:rStyle w:val="TextBullet"/>
        </w:rPr>
        <w:tab/>
      </w:r>
      <w:r>
        <w:t>their existing roles. This option would build confidence in the advice provided though it does not address all of the leadership gaps identified in Chapter 3 and does not fulfil the other necessary functions of the recommended dedicated local heritage roles, particularly those relating to providing documentary guidance and direct support to achieve base-level protection.</w:t>
      </w:r>
    </w:p>
    <w:p w14:paraId="49E571F6" w14:textId="77777777" w:rsidR="00BC5284" w:rsidRDefault="00BC5284">
      <w:pPr>
        <w:pStyle w:val="TextBulletsPara"/>
      </w:pPr>
      <w:r>
        <w:rPr>
          <w:rStyle w:val="TextBullet"/>
        </w:rPr>
        <w:t>•</w:t>
      </w:r>
      <w:r>
        <w:rPr>
          <w:rStyle w:val="TextBullet"/>
        </w:rPr>
        <w:tab/>
      </w:r>
      <w:r>
        <w:t>DELWP Planning to commit to undertaking the creation of new guidance documents and updating existing ones in staggered, prioritised steps. While this allows for documents to be created or updated when other commitments allow, it may mean the acute knowledge gaps identified in Chapter 3 are not able to be addressed quickly enough or are not being addressed at all.</w:t>
      </w:r>
    </w:p>
    <w:p w14:paraId="0251C0D7" w14:textId="77777777" w:rsidR="00BC5284" w:rsidRDefault="00BC5284">
      <w:pPr>
        <w:pStyle w:val="TextBulletsPara"/>
      </w:pPr>
      <w:r>
        <w:rPr>
          <w:rStyle w:val="TextBullet"/>
          <w:spacing w:val="-4"/>
        </w:rPr>
        <w:t>•</w:t>
      </w:r>
      <w:r>
        <w:rPr>
          <w:rStyle w:val="TextBullet"/>
          <w:spacing w:val="-4"/>
        </w:rPr>
        <w:tab/>
      </w:r>
      <w:r>
        <w:rPr>
          <w:spacing w:val="-4"/>
        </w:rPr>
        <w:t>DELWP Planning to provide guidance and encouragement</w:t>
      </w:r>
      <w:r>
        <w:t xml:space="preserve"> only to ensure that the remaining councils undertake and implement a base-level heritage study. </w:t>
      </w:r>
    </w:p>
    <w:p w14:paraId="155F9CC0" w14:textId="77777777" w:rsidR="00BC5284" w:rsidRDefault="00BC5284">
      <w:pPr>
        <w:pStyle w:val="Text"/>
      </w:pPr>
      <w:r>
        <w:t>Similarly, given COVID-19 restrictions on gatherings, it may not be possible for the Heritage Council to deliver the promotional program in-person. The Heritage Council could look to deliver the information sessions and community roadshow in an online format.</w:t>
      </w:r>
      <w:r>
        <w:t> </w:t>
      </w:r>
    </w:p>
    <w:p w14:paraId="100D1E6A" w14:textId="77777777" w:rsidR="00BC5284" w:rsidRDefault="00BC5284">
      <w:pPr>
        <w:pStyle w:val="ChapterHeading"/>
        <w:rPr>
          <w:color w:val="000000"/>
        </w:rPr>
      </w:pPr>
      <w:r>
        <w:rPr>
          <w:color w:val="000000"/>
        </w:rPr>
        <w:t>References</w:t>
      </w:r>
    </w:p>
    <w:p w14:paraId="62547683" w14:textId="77777777" w:rsidR="00BC5284" w:rsidRDefault="00BC5284">
      <w:pPr>
        <w:pStyle w:val="HeadingSubtitle3"/>
        <w:rPr>
          <w:color w:val="000000"/>
        </w:rPr>
      </w:pPr>
      <w:r>
        <w:rPr>
          <w:color w:val="000000"/>
        </w:rPr>
        <w:t>Legislation</w:t>
      </w:r>
    </w:p>
    <w:p w14:paraId="5D536DA8" w14:textId="77777777" w:rsidR="00BC5284" w:rsidRDefault="00BC5284">
      <w:pPr>
        <w:pStyle w:val="Text"/>
      </w:pPr>
      <w:r>
        <w:rPr>
          <w:rStyle w:val="TextItalic"/>
          <w:iCs/>
        </w:rPr>
        <w:t>Aboriginal Heritage Act 2006</w:t>
      </w:r>
      <w:r>
        <w:t xml:space="preserve"> (Vic).</w:t>
      </w:r>
    </w:p>
    <w:p w14:paraId="64A2BFB6" w14:textId="77777777" w:rsidR="00BC5284" w:rsidRDefault="00BC5284">
      <w:pPr>
        <w:pStyle w:val="Text"/>
      </w:pPr>
      <w:r>
        <w:rPr>
          <w:rStyle w:val="TextItalic"/>
          <w:iCs/>
        </w:rPr>
        <w:t>Building Act 1993</w:t>
      </w:r>
      <w:r>
        <w:t xml:space="preserve"> (Vic).</w:t>
      </w:r>
    </w:p>
    <w:p w14:paraId="52A1A8B8" w14:textId="77777777" w:rsidR="00BC5284" w:rsidRDefault="00BC5284">
      <w:pPr>
        <w:pStyle w:val="Text"/>
      </w:pPr>
      <w:r>
        <w:rPr>
          <w:rStyle w:val="TextItalic"/>
          <w:iCs/>
        </w:rPr>
        <w:t>Environment Protection and Biodiversity Conservation Act 1999</w:t>
      </w:r>
      <w:r>
        <w:t xml:space="preserve"> (Cth).</w:t>
      </w:r>
    </w:p>
    <w:p w14:paraId="1ED2817F" w14:textId="77777777" w:rsidR="00BC5284" w:rsidRDefault="00BC5284">
      <w:pPr>
        <w:pStyle w:val="Text"/>
      </w:pPr>
      <w:r>
        <w:rPr>
          <w:rStyle w:val="TextItalic"/>
          <w:iCs/>
        </w:rPr>
        <w:t>Heritage Act 2017</w:t>
      </w:r>
      <w:r>
        <w:t xml:space="preserve"> (Vic).</w:t>
      </w:r>
    </w:p>
    <w:p w14:paraId="0CBEB923" w14:textId="77777777" w:rsidR="00BC5284" w:rsidRDefault="00BC5284">
      <w:pPr>
        <w:pStyle w:val="Text"/>
      </w:pPr>
      <w:r>
        <w:rPr>
          <w:rStyle w:val="TextItalic"/>
          <w:iCs/>
        </w:rPr>
        <w:t>Planning and Environment Act 1987</w:t>
      </w:r>
      <w:r>
        <w:t xml:space="preserve"> (Vic).</w:t>
      </w:r>
    </w:p>
    <w:p w14:paraId="0BD11895" w14:textId="77777777" w:rsidR="00BC5284" w:rsidRDefault="00BC5284">
      <w:pPr>
        <w:pStyle w:val="HeadingSubtitle3"/>
        <w:rPr>
          <w:color w:val="000000"/>
        </w:rPr>
      </w:pPr>
      <w:r>
        <w:rPr>
          <w:color w:val="000000"/>
        </w:rPr>
        <w:t>General</w:t>
      </w:r>
    </w:p>
    <w:p w14:paraId="6FA8CDB0" w14:textId="77777777" w:rsidR="00BC5284" w:rsidRDefault="00BC5284">
      <w:pPr>
        <w:pStyle w:val="Text"/>
      </w:pPr>
      <w:r>
        <w:t xml:space="preserve">Allom Lovell and Associates Pty Ltd on behalf of Greater Shepparton City Council 2004, </w:t>
      </w:r>
      <w:r>
        <w:rPr>
          <w:rStyle w:val="TextItalic"/>
          <w:iCs/>
        </w:rPr>
        <w:t>City of Greater Shepparton Heritage Study Stage II</w:t>
      </w:r>
      <w:r>
        <w:t>, Greater Shepparton City Council, Shepparton.</w:t>
      </w:r>
    </w:p>
    <w:p w14:paraId="39E7D6AB" w14:textId="77777777" w:rsidR="00BC5284" w:rsidRDefault="00BC5284">
      <w:pPr>
        <w:pStyle w:val="Text"/>
      </w:pPr>
      <w:r>
        <w:t xml:space="preserve">Australian Bureau of Statistics 2019, </w:t>
      </w:r>
      <w:r>
        <w:rPr>
          <w:rStyle w:val="TextItalic"/>
          <w:iCs/>
        </w:rPr>
        <w:t>Regional Population Growth, Australia</w:t>
      </w:r>
      <w:r>
        <w:t>, cat No. 3218.0, ABS, Canberra.</w:t>
      </w:r>
    </w:p>
    <w:p w14:paraId="0E23302C" w14:textId="77777777" w:rsidR="00BC5284" w:rsidRDefault="00BC5284">
      <w:pPr>
        <w:pStyle w:val="Text"/>
      </w:pPr>
      <w:r>
        <w:t xml:space="preserve">Bryce Raworth Pty Ltd on behalf of Frankston City Council </w:t>
      </w:r>
      <w:r>
        <w:rPr>
          <w:spacing w:val="-2"/>
        </w:rPr>
        <w:t xml:space="preserve">2012, </w:t>
      </w:r>
      <w:r>
        <w:rPr>
          <w:rStyle w:val="TextItalic"/>
          <w:iCs/>
          <w:spacing w:val="-2"/>
        </w:rPr>
        <w:t>Frankston City Post-War Modernist Heritage Study Stage I</w:t>
      </w:r>
      <w:r>
        <w:rPr>
          <w:spacing w:val="-2"/>
        </w:rPr>
        <w:t>,</w:t>
      </w:r>
      <w:r>
        <w:t xml:space="preserve"> Frankston City Council, Melbourne.</w:t>
      </w:r>
    </w:p>
    <w:p w14:paraId="76FBB77C" w14:textId="77777777" w:rsidR="00BC5284" w:rsidRDefault="00BC5284">
      <w:pPr>
        <w:pStyle w:val="Text"/>
      </w:pPr>
      <w:r>
        <w:t xml:space="preserve">Built Heritage Pty Ltd on behalf of Frankston City Council 2015, </w:t>
      </w:r>
      <w:r>
        <w:rPr>
          <w:rStyle w:val="TextItalic"/>
          <w:iCs/>
          <w:spacing w:val="-4"/>
        </w:rPr>
        <w:t>Frankston City Post-War Modernist Heritage Study Stage II,</w:t>
      </w:r>
      <w:r>
        <w:t xml:space="preserve"> Frankston City Council, Melbourne.</w:t>
      </w:r>
    </w:p>
    <w:p w14:paraId="31BB1665" w14:textId="77777777" w:rsidR="00BC5284" w:rsidRDefault="00BC5284">
      <w:pPr>
        <w:pStyle w:val="Text"/>
      </w:pPr>
      <w:r>
        <w:t xml:space="preserve">Casey City Council 2017, </w:t>
      </w:r>
      <w:r>
        <w:rPr>
          <w:rStyle w:val="TextItalic"/>
          <w:iCs/>
        </w:rPr>
        <w:t>Heritage Strategy,</w:t>
      </w:r>
      <w:r>
        <w:t xml:space="preserve"> Casey City Council, Melbourne.</w:t>
      </w:r>
    </w:p>
    <w:p w14:paraId="7156EE64" w14:textId="77777777" w:rsidR="00BC5284" w:rsidRDefault="00BC5284">
      <w:pPr>
        <w:pStyle w:val="Text"/>
      </w:pPr>
      <w:r>
        <w:t xml:space="preserve">Commonwealth of Australia, Heritage Chairs and Officials of Australia and New Zealand 2005, </w:t>
      </w:r>
      <w:r>
        <w:rPr>
          <w:rStyle w:val="TextItalic"/>
          <w:iCs/>
        </w:rPr>
        <w:t>Incentives for Heritage Protection Handbook: A National Guide for Local Government and the Community</w:t>
      </w:r>
      <w:r>
        <w:t xml:space="preserve">, Commonwealth of Australia, HCOANZ, Canberra. </w:t>
      </w:r>
    </w:p>
    <w:p w14:paraId="2F045A08" w14:textId="77777777" w:rsidR="00BC5284" w:rsidRDefault="00BC5284">
      <w:pPr>
        <w:pStyle w:val="Text"/>
      </w:pPr>
      <w:r>
        <w:t xml:space="preserve">Commonwealth of Australia, Heritage Chairs and Officials of Australian and New Zealand 2009, </w:t>
      </w:r>
      <w:r>
        <w:rPr>
          <w:rStyle w:val="TextItalic"/>
          <w:iCs/>
        </w:rPr>
        <w:t>Heritage Advisory Services Handbook: A National Guide for Government, Advisors and the Community</w:t>
      </w:r>
      <w:r>
        <w:t xml:space="preserve"> (2nd ed.), Commonwealth of Australia, HCOANZ, Canberra.</w:t>
      </w:r>
    </w:p>
    <w:p w14:paraId="54FEA75E" w14:textId="77777777" w:rsidR="00BC5284" w:rsidRDefault="00BC5284">
      <w:pPr>
        <w:pStyle w:val="Text"/>
      </w:pPr>
      <w:r>
        <w:t xml:space="preserve">Greater Shepparton City Council (2019), </w:t>
      </w:r>
      <w:r>
        <w:rPr>
          <w:rStyle w:val="TextItalic"/>
          <w:iCs/>
        </w:rPr>
        <w:t>Heritage Strategy 2019,</w:t>
      </w:r>
      <w:r>
        <w:t xml:space="preserve"> Greater Shepparton City Council, Shepparton.</w:t>
      </w:r>
    </w:p>
    <w:p w14:paraId="48679F68" w14:textId="77777777" w:rsidR="00BC5284" w:rsidRDefault="00BC5284">
      <w:pPr>
        <w:pStyle w:val="Text"/>
      </w:pPr>
      <w:r>
        <w:lastRenderedPageBreak/>
        <w:t xml:space="preserve">Heritage Concepts Pty Ltd on behalf of Greater Shepparton City Council 2010, </w:t>
      </w:r>
      <w:r>
        <w:rPr>
          <w:rStyle w:val="TextItalic"/>
          <w:iCs/>
        </w:rPr>
        <w:t>City of Greater Shepparton Heritage Study Stage IIB,</w:t>
      </w:r>
      <w:r>
        <w:t xml:space="preserve"> Greater Shepparton City Council, Shepparton.</w:t>
      </w:r>
    </w:p>
    <w:p w14:paraId="4A5B45F4" w14:textId="77777777" w:rsidR="00BC5284" w:rsidRDefault="00BC5284">
      <w:pPr>
        <w:pStyle w:val="Text"/>
      </w:pPr>
      <w:r>
        <w:t xml:space="preserve">Heritage Concepts Pty Ltd on behalf of Greater Shepparton City Council 2017, </w:t>
      </w:r>
      <w:r>
        <w:rPr>
          <w:rStyle w:val="TextItalic"/>
          <w:iCs/>
        </w:rPr>
        <w:t>City of Greater Shepparton Heritage Study Stage IIC,</w:t>
      </w:r>
      <w:r>
        <w:t xml:space="preserve"> Greater Shepparton City Council, Shepparton.</w:t>
      </w:r>
    </w:p>
    <w:p w14:paraId="2A976E12" w14:textId="77777777" w:rsidR="00BC5284" w:rsidRDefault="00BC5284">
      <w:pPr>
        <w:pStyle w:val="Text"/>
      </w:pPr>
      <w:r>
        <w:t xml:space="preserve">Heritage Council of Victoria 2019, </w:t>
      </w:r>
      <w:r>
        <w:rPr>
          <w:rStyle w:val="TextItalic"/>
          <w:iCs/>
        </w:rPr>
        <w:t>The Victorian Heritage Register Criteria and Threshold Guidelines</w:t>
      </w:r>
      <w:r>
        <w:t>, Heritage Council of Victoria, Melbourne.</w:t>
      </w:r>
    </w:p>
    <w:p w14:paraId="0E666682" w14:textId="77777777" w:rsidR="00BC5284" w:rsidRDefault="00BC5284">
      <w:pPr>
        <w:pStyle w:val="Text"/>
      </w:pPr>
      <w:r>
        <w:t xml:space="preserve">Heritage Victoria, Department of Environment, Land, Water and Planning 2016, </w:t>
      </w:r>
      <w:r>
        <w:rPr>
          <w:rStyle w:val="TextItalic"/>
          <w:iCs/>
        </w:rPr>
        <w:t>Heritage Advisor’s Toolkit</w:t>
      </w:r>
      <w:r>
        <w:t>, Heritage Victoria, DELWP, Melbourne.</w:t>
      </w:r>
    </w:p>
    <w:p w14:paraId="09774506" w14:textId="77777777" w:rsidR="00BC5284" w:rsidRDefault="00BC5284">
      <w:pPr>
        <w:pStyle w:val="Text"/>
      </w:pPr>
      <w:r>
        <w:t xml:space="preserve">Heritage Victoria, Department of Planning and Community Development 2010, </w:t>
      </w:r>
      <w:r>
        <w:rPr>
          <w:rStyle w:val="TextItalic"/>
          <w:iCs/>
        </w:rPr>
        <w:t xml:space="preserve">Model Consultants Brief for Heritage Studies, </w:t>
      </w:r>
      <w:r>
        <w:t>Heritage Victoria, DPCD, Melbourne.</w:t>
      </w:r>
    </w:p>
    <w:p w14:paraId="3F9FA8B5" w14:textId="77777777" w:rsidR="00BC5284" w:rsidRDefault="00BC5284">
      <w:pPr>
        <w:pStyle w:val="Text"/>
      </w:pPr>
      <w:r>
        <w:t xml:space="preserve">Heritage Victoria, Department of Planning and Community Development 2012, </w:t>
      </w:r>
      <w:r>
        <w:rPr>
          <w:rStyle w:val="TextItalic"/>
          <w:iCs/>
        </w:rPr>
        <w:t>Municipal Heritage Strategies: A Guide for Councils</w:t>
      </w:r>
      <w:r>
        <w:t>, Heritage Victoria, DPCD, Melbourne.</w:t>
      </w:r>
    </w:p>
    <w:p w14:paraId="6B180410" w14:textId="77777777" w:rsidR="00BC5284" w:rsidRDefault="00BC5284">
      <w:pPr>
        <w:pStyle w:val="Text"/>
      </w:pPr>
      <w:r>
        <w:t xml:space="preserve">Heritage Victoria, Department of Transport, Planning and Local Infrastructure 2014, </w:t>
      </w:r>
      <w:r>
        <w:rPr>
          <w:rStyle w:val="TextItalic"/>
          <w:iCs/>
        </w:rPr>
        <w:t>Heritage Advisory Services: A Guide for Councils</w:t>
      </w:r>
      <w:r>
        <w:t>, Heritage Victoria, DTPLI, Melbourne.</w:t>
      </w:r>
    </w:p>
    <w:p w14:paraId="1360D1A0" w14:textId="77777777" w:rsidR="00BC5284" w:rsidRDefault="00BC5284">
      <w:pPr>
        <w:pStyle w:val="Text"/>
      </w:pPr>
      <w:r>
        <w:t xml:space="preserve">Mackay Strategic on behalf of the Heritage Council of Victoria 2018, </w:t>
      </w:r>
      <w:r>
        <w:rPr>
          <w:rStyle w:val="TextItalic"/>
          <w:iCs/>
        </w:rPr>
        <w:t>Feasibility Study for a Victorian Heritage Strategy</w:t>
      </w:r>
      <w:r>
        <w:t>, unpublished report.</w:t>
      </w:r>
    </w:p>
    <w:p w14:paraId="0456ABB0" w14:textId="77777777" w:rsidR="00BC5284" w:rsidRDefault="00BC5284">
      <w:pPr>
        <w:pStyle w:val="Text"/>
      </w:pPr>
      <w:r>
        <w:t xml:space="preserve">Rypkema, D 2005, </w:t>
      </w:r>
      <w:r>
        <w:rPr>
          <w:rStyle w:val="TextItalic"/>
          <w:iCs/>
        </w:rPr>
        <w:t>The Economics of Historic Preservation: A Community Leader's Guide</w:t>
      </w:r>
      <w:r>
        <w:t xml:space="preserve"> (2nd ed.), National Trust for Historic Preservation, Washington, DC</w:t>
      </w:r>
    </w:p>
    <w:p w14:paraId="0C053A22" w14:textId="77777777" w:rsidR="00BC5284" w:rsidRDefault="00BC5284">
      <w:pPr>
        <w:pStyle w:val="Text"/>
      </w:pPr>
      <w:r>
        <w:t xml:space="preserve">Rypkema, D, Cheong, C &amp; Mason, R 2011, </w:t>
      </w:r>
      <w:r>
        <w:rPr>
          <w:rStyle w:val="TextItalic"/>
          <w:iCs/>
        </w:rPr>
        <w:t>Measuring Economic Impacts of Historic Preservation</w:t>
      </w:r>
      <w:r>
        <w:t>, Advisory Council on Historic Preservation.</w:t>
      </w:r>
    </w:p>
    <w:p w14:paraId="3F93F0DC" w14:textId="77777777" w:rsidR="00BC5284" w:rsidRDefault="00BC5284">
      <w:pPr>
        <w:pStyle w:val="Text"/>
      </w:pPr>
      <w:r>
        <w:t xml:space="preserve">Soma Design Partnership Pty Ltd on behalf of Greater Shepparton City Council 2001, </w:t>
      </w:r>
      <w:r>
        <w:rPr>
          <w:rStyle w:val="TextItalic"/>
          <w:iCs/>
        </w:rPr>
        <w:t>City of Greater Shepparton Heritage Study Stage 1</w:t>
      </w:r>
      <w:r>
        <w:t>, Greater Shepparton City Council, Shepparton.</w:t>
      </w:r>
    </w:p>
    <w:p w14:paraId="298BFED7" w14:textId="77777777" w:rsidR="00BC5284" w:rsidRDefault="00BC5284">
      <w:pPr>
        <w:pStyle w:val="Text"/>
      </w:pPr>
      <w:r>
        <w:t xml:space="preserve">The State of Victoria, Department of Environment, Land, Water and Planning 2017, </w:t>
      </w:r>
      <w:r>
        <w:rPr>
          <w:rStyle w:val="TextItalic"/>
          <w:iCs/>
        </w:rPr>
        <w:t>Plan Melbourne 2017–2050</w:t>
      </w:r>
      <w:r>
        <w:t>, The State of Victoria, DELWP, Melbourne.</w:t>
      </w:r>
    </w:p>
    <w:p w14:paraId="7ABC4C8D" w14:textId="77777777" w:rsidR="00BC5284" w:rsidRDefault="00BC5284">
      <w:pPr>
        <w:pStyle w:val="Text"/>
      </w:pPr>
      <w:r>
        <w:t xml:space="preserve">The State of Victoria, Department of Environment, Land, Water and Planning 2018, </w:t>
      </w:r>
      <w:r>
        <w:rPr>
          <w:rStyle w:val="TextItalic"/>
          <w:iCs/>
        </w:rPr>
        <w:t>Planning Practice Note 1 – Applying the Heritage Overlay</w:t>
      </w:r>
      <w:r>
        <w:t>, The State of Victoria, DELWP, Melbourne.</w:t>
      </w:r>
    </w:p>
    <w:p w14:paraId="24D1C43F" w14:textId="77777777" w:rsidR="00BC5284" w:rsidRDefault="00BC5284">
      <w:pPr>
        <w:pStyle w:val="Text"/>
      </w:pPr>
      <w:r>
        <w:t xml:space="preserve">United Nations Educational, Scientific and Cultural Organization 1972, </w:t>
      </w:r>
      <w:r>
        <w:rPr>
          <w:rStyle w:val="TextItalic"/>
          <w:iCs/>
        </w:rPr>
        <w:t>Convention Concerning the Protection of the World’s Cultural and Natural Heritage</w:t>
      </w:r>
      <w:r>
        <w:t>.</w:t>
      </w:r>
    </w:p>
    <w:p w14:paraId="1E6264A7" w14:textId="77777777" w:rsidR="00BC5284" w:rsidRDefault="00BC5284">
      <w:pPr>
        <w:pStyle w:val="Text"/>
      </w:pPr>
      <w:r>
        <w:t xml:space="preserve">Yarra City Council 2019, </w:t>
      </w:r>
      <w:r>
        <w:rPr>
          <w:rStyle w:val="TextItalic"/>
          <w:iCs/>
        </w:rPr>
        <w:t>Heritage Strategy 2019–2030</w:t>
      </w:r>
      <w:r>
        <w:t>, Yarra City Council, Melbourne.</w:t>
      </w:r>
    </w:p>
    <w:p w14:paraId="3FBC243F" w14:textId="77777777" w:rsidR="00BC5284" w:rsidRDefault="00BC5284">
      <w:pPr>
        <w:pStyle w:val="Text"/>
      </w:pPr>
    </w:p>
    <w:p w14:paraId="2FC76CF7" w14:textId="77777777" w:rsidR="00BC5284" w:rsidRDefault="00BC5284">
      <w:pPr>
        <w:pStyle w:val="ChapterHeading"/>
        <w:rPr>
          <w:color w:val="000000"/>
        </w:rPr>
      </w:pPr>
      <w:r>
        <w:rPr>
          <w:color w:val="000000"/>
        </w:rPr>
        <w:t>Appendices</w:t>
      </w:r>
    </w:p>
    <w:p w14:paraId="10ABFEAC" w14:textId="77777777" w:rsidR="00BC5284" w:rsidRDefault="00BC5284">
      <w:pPr>
        <w:pStyle w:val="Headingsubtitle1"/>
        <w:rPr>
          <w:color w:val="000000"/>
        </w:rPr>
      </w:pPr>
      <w:r>
        <w:rPr>
          <w:color w:val="000000"/>
        </w:rPr>
        <w:t>Appendix 1 – Comparison of state and territory heritage systems</w:t>
      </w:r>
    </w:p>
    <w:tbl>
      <w:tblPr>
        <w:tblW w:w="0" w:type="auto"/>
        <w:tblInd w:w="80" w:type="dxa"/>
        <w:tblLayout w:type="fixed"/>
        <w:tblCellMar>
          <w:left w:w="0" w:type="dxa"/>
          <w:right w:w="0" w:type="dxa"/>
        </w:tblCellMar>
        <w:tblLook w:val="0000" w:firstRow="0" w:lastRow="0" w:firstColumn="0" w:lastColumn="0" w:noHBand="0" w:noVBand="0"/>
      </w:tblPr>
      <w:tblGrid>
        <w:gridCol w:w="3402"/>
        <w:gridCol w:w="3401"/>
        <w:gridCol w:w="3402"/>
      </w:tblGrid>
      <w:tr w:rsidR="00BC5284" w:rsidRPr="00BC5284" w14:paraId="5AD0E76C" w14:textId="77777777" w:rsidTr="00352FC0">
        <w:trPr>
          <w:trHeight w:val="60"/>
        </w:trPr>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13" w:type="dxa"/>
              <w:left w:w="80" w:type="dxa"/>
              <w:bottom w:w="170" w:type="dxa"/>
              <w:right w:w="80" w:type="dxa"/>
            </w:tcMar>
          </w:tcPr>
          <w:p w14:paraId="3155D624" w14:textId="77777777" w:rsidR="00BC5284" w:rsidRPr="00352FC0" w:rsidRDefault="00BC5284">
            <w:pPr>
              <w:pStyle w:val="TableHeading1"/>
              <w:rPr>
                <w:color w:val="000000"/>
              </w:rPr>
            </w:pPr>
            <w:r w:rsidRPr="00352FC0">
              <w:rPr>
                <w:color w:val="000000"/>
              </w:rPr>
              <w:t>Jurisdiction</w:t>
            </w:r>
          </w:p>
        </w:tc>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113" w:type="dxa"/>
              <w:left w:w="80" w:type="dxa"/>
              <w:bottom w:w="170" w:type="dxa"/>
              <w:right w:w="80" w:type="dxa"/>
            </w:tcMar>
          </w:tcPr>
          <w:p w14:paraId="4504EBC2" w14:textId="77777777" w:rsidR="00BC5284" w:rsidRPr="00352FC0" w:rsidRDefault="00BC5284">
            <w:pPr>
              <w:pStyle w:val="TableHeading1"/>
              <w:rPr>
                <w:color w:val="000000"/>
              </w:rPr>
            </w:pPr>
            <w:r w:rsidRPr="00352FC0">
              <w:rPr>
                <w:color w:val="000000"/>
              </w:rPr>
              <w:t>State heritage system</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113" w:type="dxa"/>
              <w:left w:w="80" w:type="dxa"/>
              <w:bottom w:w="170" w:type="dxa"/>
              <w:right w:w="80" w:type="dxa"/>
            </w:tcMar>
          </w:tcPr>
          <w:p w14:paraId="68D552A8" w14:textId="77777777" w:rsidR="00BC5284" w:rsidRPr="00352FC0" w:rsidRDefault="00BC5284">
            <w:pPr>
              <w:pStyle w:val="TableHeading1"/>
              <w:rPr>
                <w:color w:val="000000"/>
              </w:rPr>
            </w:pPr>
            <w:r w:rsidRPr="00352FC0">
              <w:rPr>
                <w:color w:val="000000"/>
              </w:rPr>
              <w:t>Local heritage system</w:t>
            </w:r>
          </w:p>
        </w:tc>
      </w:tr>
      <w:tr w:rsidR="00BC5284" w:rsidRPr="00BC5284" w14:paraId="0755C7D4" w14:textId="77777777">
        <w:trPr>
          <w:trHeight w:val="60"/>
        </w:trPr>
        <w:tc>
          <w:tcPr>
            <w:tcW w:w="3402" w:type="dxa"/>
            <w:tcBorders>
              <w:top w:val="single" w:sz="6" w:space="0" w:color="000000"/>
              <w:left w:val="single" w:sz="6" w:space="0" w:color="000000"/>
              <w:bottom w:val="single" w:sz="16" w:space="0" w:color="B9B9BA"/>
              <w:right w:val="single" w:sz="6" w:space="0" w:color="000000"/>
            </w:tcBorders>
            <w:tcMar>
              <w:top w:w="170" w:type="dxa"/>
              <w:left w:w="80" w:type="dxa"/>
              <w:bottom w:w="170" w:type="dxa"/>
              <w:right w:w="80" w:type="dxa"/>
            </w:tcMar>
          </w:tcPr>
          <w:p w14:paraId="1B4B05C2" w14:textId="77777777" w:rsidR="00BC5284" w:rsidRPr="00BC5284" w:rsidRDefault="00BC5284">
            <w:pPr>
              <w:pStyle w:val="TableText"/>
            </w:pPr>
            <w:r w:rsidRPr="00BC5284">
              <w:rPr>
                <w:rStyle w:val="TabletextBold"/>
                <w:rFonts w:cs="FreightSans Pro Bold"/>
                <w:bCs/>
              </w:rPr>
              <w:t>ACT</w:t>
            </w:r>
          </w:p>
        </w:tc>
        <w:tc>
          <w:tcPr>
            <w:tcW w:w="3401"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828B00E" w14:textId="77777777" w:rsidR="00BC5284" w:rsidRPr="00BC5284" w:rsidRDefault="00BC5284">
            <w:pPr>
              <w:pStyle w:val="TableText"/>
            </w:pPr>
            <w:r w:rsidRPr="00BC5284">
              <w:t xml:space="preserve">Places of territory significance are protected through the ACT Heritage Register (ACTHR). The ACT Heritage Council (ACTHC) is an 11-member statutory authority/body that advises and decides on listings in the ACTHR. ACT Heritage, part of the Environment, Planning and Sustainable Development Directorate, supports the ACTHC and Minister. It also </w:t>
            </w:r>
            <w:r w:rsidRPr="00BC5284">
              <w:lastRenderedPageBreak/>
              <w:t>maintains the ACTHR.</w:t>
            </w:r>
          </w:p>
        </w:tc>
        <w:tc>
          <w:tcPr>
            <w:tcW w:w="3402"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3BF6D4FD" w14:textId="77777777" w:rsidR="00BC5284" w:rsidRPr="00BC5284" w:rsidRDefault="00BC5284">
            <w:pPr>
              <w:pStyle w:val="TableText"/>
            </w:pPr>
            <w:r w:rsidRPr="00BC5284">
              <w:lastRenderedPageBreak/>
              <w:t>There is no local government and thus no local heritage system.</w:t>
            </w:r>
          </w:p>
        </w:tc>
      </w:tr>
      <w:tr w:rsidR="00BC5284" w:rsidRPr="00BC5284" w14:paraId="7F5B8551" w14:textId="77777777">
        <w:trPr>
          <w:trHeight w:val="60"/>
        </w:trPr>
        <w:tc>
          <w:tcPr>
            <w:tcW w:w="3402" w:type="dxa"/>
            <w:tcBorders>
              <w:top w:val="single" w:sz="16" w:space="0" w:color="B9B9BA"/>
              <w:left w:val="single" w:sz="6" w:space="0" w:color="000000"/>
              <w:bottom w:val="single" w:sz="16" w:space="0" w:color="B9B9BA"/>
              <w:right w:val="single" w:sz="6" w:space="0" w:color="000000"/>
            </w:tcBorders>
            <w:tcMar>
              <w:top w:w="170" w:type="dxa"/>
              <w:left w:w="80" w:type="dxa"/>
              <w:bottom w:w="170" w:type="dxa"/>
              <w:right w:w="80" w:type="dxa"/>
            </w:tcMar>
          </w:tcPr>
          <w:p w14:paraId="00DFC24C" w14:textId="77777777" w:rsidR="00BC5284" w:rsidRPr="00BC5284" w:rsidRDefault="00BC5284">
            <w:pPr>
              <w:pStyle w:val="TableText"/>
            </w:pPr>
            <w:r w:rsidRPr="00BC5284">
              <w:rPr>
                <w:rStyle w:val="TabletextBold"/>
                <w:rFonts w:cs="FreightSans Pro Bold"/>
                <w:bCs/>
              </w:rPr>
              <w:t>NSW</w:t>
            </w:r>
          </w:p>
        </w:tc>
        <w:tc>
          <w:tcPr>
            <w:tcW w:w="3401"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32D8C84" w14:textId="77777777" w:rsidR="00BC5284" w:rsidRPr="00BC5284" w:rsidRDefault="00BC5284">
            <w:pPr>
              <w:pStyle w:val="TableText"/>
            </w:pPr>
            <w:r w:rsidRPr="00BC5284">
              <w:t>Places of State heritage significance are protected through the NSW State Heritage Register (NSWHR). The Heritage Council of NSW is a nine-member statutory authority/body that advises and recommends listings in the NSWHR. The Minister ultimately approves this listing. The Office of Environment and Heritage (OEH), a division of the NSW Department of Planning and Environment, maintains the NSWHR.</w:t>
            </w:r>
          </w:p>
        </w:tc>
        <w:tc>
          <w:tcPr>
            <w:tcW w:w="3402"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574728E" w14:textId="77777777" w:rsidR="00BC5284" w:rsidRPr="00BC5284" w:rsidRDefault="00BC5284">
            <w:pPr>
              <w:pStyle w:val="TableText"/>
            </w:pPr>
            <w:r w:rsidRPr="00BC5284">
              <w:t>Places of local significance are protected through a local council’s local environment plan or regional environment plan. They are also listed in the NSWHR.</w:t>
            </w:r>
          </w:p>
        </w:tc>
      </w:tr>
      <w:tr w:rsidR="00BC5284" w:rsidRPr="00BC5284" w14:paraId="5481EBE5" w14:textId="77777777">
        <w:trPr>
          <w:trHeight w:val="60"/>
        </w:trPr>
        <w:tc>
          <w:tcPr>
            <w:tcW w:w="3402" w:type="dxa"/>
            <w:tcBorders>
              <w:top w:val="single" w:sz="16" w:space="0" w:color="B9B9BA"/>
              <w:left w:val="single" w:sz="6" w:space="0" w:color="000000"/>
              <w:bottom w:val="single" w:sz="16" w:space="0" w:color="B9B9BA"/>
              <w:right w:val="single" w:sz="6" w:space="0" w:color="000000"/>
            </w:tcBorders>
            <w:tcMar>
              <w:top w:w="170" w:type="dxa"/>
              <w:left w:w="80" w:type="dxa"/>
              <w:bottom w:w="170" w:type="dxa"/>
              <w:right w:w="80" w:type="dxa"/>
            </w:tcMar>
          </w:tcPr>
          <w:p w14:paraId="751660CF" w14:textId="77777777" w:rsidR="00BC5284" w:rsidRPr="00BC5284" w:rsidRDefault="00BC5284">
            <w:pPr>
              <w:pStyle w:val="TableText"/>
            </w:pPr>
            <w:r w:rsidRPr="00BC5284">
              <w:rPr>
                <w:rStyle w:val="TabletextBold"/>
                <w:rFonts w:cs="FreightSans Pro Bold"/>
                <w:bCs/>
              </w:rPr>
              <w:t>NT</w:t>
            </w:r>
          </w:p>
        </w:tc>
        <w:tc>
          <w:tcPr>
            <w:tcW w:w="3401"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68CC87A" w14:textId="77777777" w:rsidR="00BC5284" w:rsidRPr="00BC5284" w:rsidRDefault="00BC5284">
            <w:pPr>
              <w:pStyle w:val="TableText"/>
            </w:pPr>
            <w:r w:rsidRPr="00BC5284">
              <w:t>Places of territory significance are protected through the NT Heritage Register (NTHR). The NT Heritage Council (NTHC) is an 11-member statutory authority/body that advises and recommends listings in the NTHR. The Minister, or delegated CEO of the Department of Tourism, Sport and Culture, approves the listing. The NTHC maintain the NTHR.</w:t>
            </w:r>
          </w:p>
        </w:tc>
        <w:tc>
          <w:tcPr>
            <w:tcW w:w="3402"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1F3E416" w14:textId="77777777" w:rsidR="00BC5284" w:rsidRPr="00BC5284" w:rsidRDefault="00BC5284">
            <w:pPr>
              <w:pStyle w:val="TableText"/>
            </w:pPr>
            <w:r w:rsidRPr="00BC5284">
              <w:t>Despite there being local government, there is no local heritage system.</w:t>
            </w:r>
          </w:p>
        </w:tc>
      </w:tr>
      <w:tr w:rsidR="00BC5284" w:rsidRPr="00BC5284" w14:paraId="36397DF6" w14:textId="77777777">
        <w:trPr>
          <w:trHeight w:val="60"/>
        </w:trPr>
        <w:tc>
          <w:tcPr>
            <w:tcW w:w="3402" w:type="dxa"/>
            <w:tcBorders>
              <w:top w:val="single" w:sz="16" w:space="0" w:color="B9B9BA"/>
              <w:left w:val="single" w:sz="6" w:space="0" w:color="000000"/>
              <w:bottom w:val="single" w:sz="16" w:space="0" w:color="B9B9BA"/>
              <w:right w:val="single" w:sz="6" w:space="0" w:color="000000"/>
            </w:tcBorders>
            <w:tcMar>
              <w:top w:w="170" w:type="dxa"/>
              <w:left w:w="80" w:type="dxa"/>
              <w:bottom w:w="170" w:type="dxa"/>
              <w:right w:w="80" w:type="dxa"/>
            </w:tcMar>
          </w:tcPr>
          <w:p w14:paraId="17438A1C" w14:textId="77777777" w:rsidR="00BC5284" w:rsidRPr="00BC5284" w:rsidRDefault="00BC5284">
            <w:pPr>
              <w:pStyle w:val="TableText"/>
            </w:pPr>
            <w:r w:rsidRPr="00BC5284">
              <w:rPr>
                <w:rStyle w:val="TabletextBold"/>
                <w:rFonts w:cs="FreightSans Pro Bold"/>
                <w:bCs/>
              </w:rPr>
              <w:t>QLD</w:t>
            </w:r>
          </w:p>
        </w:tc>
        <w:tc>
          <w:tcPr>
            <w:tcW w:w="3401"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15160674" w14:textId="77777777" w:rsidR="00BC5284" w:rsidRPr="00BC5284" w:rsidRDefault="00BC5284">
            <w:pPr>
              <w:pStyle w:val="TableText"/>
            </w:pPr>
            <w:r w:rsidRPr="00BC5284">
              <w:t>Places of State heritage significance are protected through the Queensland Heritage Register (QHR) The Queensland Heritage Council is a 12-member statutory authority/body that advises and decides on listings in the QHR. It is supported by a secretariat from the Heritage Branch of the Department of Environment and Science. The DES maintains the register.</w:t>
            </w:r>
          </w:p>
        </w:tc>
        <w:tc>
          <w:tcPr>
            <w:tcW w:w="3402"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9023F0D" w14:textId="77777777" w:rsidR="00BC5284" w:rsidRPr="00BC5284" w:rsidRDefault="00BC5284">
            <w:pPr>
              <w:pStyle w:val="TableText"/>
            </w:pPr>
            <w:r w:rsidRPr="00BC5284">
              <w:t>Places of local significance are protected through a local council’s local heritage register and/or planning scheme.</w:t>
            </w:r>
          </w:p>
        </w:tc>
      </w:tr>
      <w:tr w:rsidR="00BC5284" w:rsidRPr="00BC5284" w14:paraId="3122A4FD" w14:textId="77777777">
        <w:trPr>
          <w:trHeight w:val="60"/>
        </w:trPr>
        <w:tc>
          <w:tcPr>
            <w:tcW w:w="3402" w:type="dxa"/>
            <w:tcBorders>
              <w:top w:val="single" w:sz="6" w:space="0" w:color="000000"/>
              <w:left w:val="single" w:sz="6" w:space="0" w:color="000000"/>
              <w:bottom w:val="single" w:sz="16" w:space="0" w:color="B9B9BA"/>
              <w:right w:val="single" w:sz="6" w:space="0" w:color="000000"/>
            </w:tcBorders>
            <w:tcMar>
              <w:top w:w="170" w:type="dxa"/>
              <w:left w:w="80" w:type="dxa"/>
              <w:bottom w:w="170" w:type="dxa"/>
              <w:right w:w="80" w:type="dxa"/>
            </w:tcMar>
          </w:tcPr>
          <w:p w14:paraId="56A20E99" w14:textId="77777777" w:rsidR="00BC5284" w:rsidRPr="00BC5284" w:rsidRDefault="00BC5284">
            <w:pPr>
              <w:pStyle w:val="TableText"/>
            </w:pPr>
            <w:r w:rsidRPr="00BC5284">
              <w:rPr>
                <w:rStyle w:val="TabletextBold"/>
                <w:rFonts w:cs="FreightSans Pro Bold"/>
                <w:bCs/>
              </w:rPr>
              <w:t>SA</w:t>
            </w:r>
          </w:p>
        </w:tc>
        <w:tc>
          <w:tcPr>
            <w:tcW w:w="3401"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216E152" w14:textId="77777777" w:rsidR="00BC5284" w:rsidRPr="00BC5284" w:rsidRDefault="00BC5284">
            <w:pPr>
              <w:pStyle w:val="TableText"/>
            </w:pPr>
            <w:r w:rsidRPr="00BC5284">
              <w:t>Places of State heritage significance are protected through the South Australian Heritage Register (SAHR). The South Australian Heritage Council is a nine-member statutory authority/body that advises and decides on listings in the SAHR (although the Minister can stop entry for pubic good). It is supported by the Department of Environment and Water. The Local Government Minister or delegate maintains the register.</w:t>
            </w:r>
          </w:p>
        </w:tc>
        <w:tc>
          <w:tcPr>
            <w:tcW w:w="3402" w:type="dxa"/>
            <w:tcBorders>
              <w:top w:val="single" w:sz="6"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2CEC32E" w14:textId="77777777" w:rsidR="00BC5284" w:rsidRPr="00BC5284" w:rsidRDefault="00BC5284">
            <w:pPr>
              <w:pStyle w:val="TableText"/>
            </w:pPr>
            <w:r w:rsidRPr="00BC5284">
              <w:t>Places of local heritage significance are protected through a local council’s development plan. They are also listed on the SAHR.</w:t>
            </w:r>
          </w:p>
        </w:tc>
      </w:tr>
      <w:tr w:rsidR="00BC5284" w:rsidRPr="00BC5284" w14:paraId="2D496FD3" w14:textId="77777777">
        <w:trPr>
          <w:trHeight w:val="60"/>
        </w:trPr>
        <w:tc>
          <w:tcPr>
            <w:tcW w:w="3402" w:type="dxa"/>
            <w:tcBorders>
              <w:top w:val="single" w:sz="16" w:space="0" w:color="B9B9BA"/>
              <w:left w:val="single" w:sz="6" w:space="0" w:color="000000"/>
              <w:bottom w:val="single" w:sz="16" w:space="0" w:color="B9B9BA"/>
              <w:right w:val="single" w:sz="6" w:space="0" w:color="000000"/>
            </w:tcBorders>
            <w:tcMar>
              <w:top w:w="170" w:type="dxa"/>
              <w:left w:w="80" w:type="dxa"/>
              <w:bottom w:w="170" w:type="dxa"/>
              <w:right w:w="80" w:type="dxa"/>
            </w:tcMar>
          </w:tcPr>
          <w:p w14:paraId="19203942" w14:textId="77777777" w:rsidR="00BC5284" w:rsidRPr="00BC5284" w:rsidRDefault="00BC5284">
            <w:pPr>
              <w:pStyle w:val="TableText"/>
            </w:pPr>
            <w:r w:rsidRPr="00BC5284">
              <w:rPr>
                <w:rStyle w:val="TabletextBold"/>
                <w:rFonts w:cs="FreightSans Pro Bold"/>
                <w:bCs/>
              </w:rPr>
              <w:t>TAS</w:t>
            </w:r>
          </w:p>
        </w:tc>
        <w:tc>
          <w:tcPr>
            <w:tcW w:w="3401"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04414710" w14:textId="77777777" w:rsidR="00BC5284" w:rsidRPr="00BC5284" w:rsidRDefault="00BC5284">
            <w:pPr>
              <w:pStyle w:val="TableText"/>
            </w:pPr>
            <w:r w:rsidRPr="00BC5284">
              <w:t>Places of State significance are protected through the Tasmanian Heritage Register (THR). The Tasmanian Heritage Council (THC) is a 15-member statutory authority/body that advises and decides on listings in the THR. The THC or delegate also maintains the THR. Heritage Tasmania (HT), a business unit of the Department of Primary Industries, Parks, Water and Environment, supports the THC.</w:t>
            </w:r>
          </w:p>
        </w:tc>
        <w:tc>
          <w:tcPr>
            <w:tcW w:w="3402"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574FD91F" w14:textId="77777777" w:rsidR="00BC5284" w:rsidRPr="00BC5284" w:rsidRDefault="00BC5284">
            <w:pPr>
              <w:pStyle w:val="TableText"/>
            </w:pPr>
            <w:r w:rsidRPr="00BC5284">
              <w:t>Places of local heritage significance are protected through the Tasmania Planning Scheme.</w:t>
            </w:r>
          </w:p>
        </w:tc>
      </w:tr>
      <w:tr w:rsidR="00BC5284" w:rsidRPr="00BC5284" w14:paraId="2EC29453" w14:textId="77777777">
        <w:trPr>
          <w:trHeight w:val="60"/>
        </w:trPr>
        <w:tc>
          <w:tcPr>
            <w:tcW w:w="3402" w:type="dxa"/>
            <w:tcBorders>
              <w:top w:val="single" w:sz="16" w:space="0" w:color="B9B9BA"/>
              <w:left w:val="single" w:sz="6" w:space="0" w:color="000000"/>
              <w:bottom w:val="single" w:sz="16" w:space="0" w:color="B9B9BA"/>
              <w:right w:val="single" w:sz="6" w:space="0" w:color="000000"/>
            </w:tcBorders>
            <w:tcMar>
              <w:top w:w="170" w:type="dxa"/>
              <w:left w:w="80" w:type="dxa"/>
              <w:bottom w:w="170" w:type="dxa"/>
              <w:right w:w="80" w:type="dxa"/>
            </w:tcMar>
          </w:tcPr>
          <w:p w14:paraId="7553CB43" w14:textId="77777777" w:rsidR="00BC5284" w:rsidRPr="00BC5284" w:rsidRDefault="00BC5284">
            <w:pPr>
              <w:pStyle w:val="TableText"/>
            </w:pPr>
            <w:r w:rsidRPr="00BC5284">
              <w:rPr>
                <w:rStyle w:val="TabletextBold"/>
                <w:rFonts w:cs="FreightSans Pro Bold"/>
                <w:bCs/>
              </w:rPr>
              <w:t>VIC</w:t>
            </w:r>
          </w:p>
        </w:tc>
        <w:tc>
          <w:tcPr>
            <w:tcW w:w="3401"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2AA9D2D6" w14:textId="77777777" w:rsidR="00BC5284" w:rsidRPr="00BC5284" w:rsidRDefault="00BC5284">
            <w:pPr>
              <w:pStyle w:val="TableText"/>
            </w:pPr>
            <w:r w:rsidRPr="00BC5284">
              <w:t xml:space="preserve">Places of State heritage significance are protected through the Victorian Heritage Register (VHR). The Heritage Council of Victoria (HCV) is a 10-member statutory </w:t>
            </w:r>
            <w:r w:rsidRPr="00BC5284">
              <w:lastRenderedPageBreak/>
              <w:t>authority/body that advises and decides on listings in the VHR. It is supported by a secretariat from the Department of Environment, Land, Water and Planning. Heritage Victoria (HV) is a government agency that maintains the VHR.</w:t>
            </w:r>
          </w:p>
        </w:tc>
        <w:tc>
          <w:tcPr>
            <w:tcW w:w="3402"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500A1B35" w14:textId="77777777" w:rsidR="00BC5284" w:rsidRPr="00BC5284" w:rsidRDefault="00BC5284">
            <w:pPr>
              <w:pStyle w:val="TableText"/>
            </w:pPr>
            <w:r w:rsidRPr="00BC5284">
              <w:lastRenderedPageBreak/>
              <w:t>Places of local significance are protected through a local council’s planning scheme.</w:t>
            </w:r>
          </w:p>
        </w:tc>
      </w:tr>
      <w:tr w:rsidR="00BC5284" w:rsidRPr="00BC5284" w14:paraId="29D2FCF5" w14:textId="77777777">
        <w:trPr>
          <w:trHeight w:val="60"/>
        </w:trPr>
        <w:tc>
          <w:tcPr>
            <w:tcW w:w="3402" w:type="dxa"/>
            <w:tcBorders>
              <w:top w:val="single" w:sz="16" w:space="0" w:color="B9B9BA"/>
              <w:left w:val="single" w:sz="6" w:space="0" w:color="000000"/>
              <w:bottom w:val="single" w:sz="16" w:space="0" w:color="B9B9BA"/>
              <w:right w:val="single" w:sz="6" w:space="0" w:color="000000"/>
            </w:tcBorders>
            <w:tcMar>
              <w:top w:w="170" w:type="dxa"/>
              <w:left w:w="80" w:type="dxa"/>
              <w:bottom w:w="170" w:type="dxa"/>
              <w:right w:w="80" w:type="dxa"/>
            </w:tcMar>
          </w:tcPr>
          <w:p w14:paraId="79C10658" w14:textId="77777777" w:rsidR="00BC5284" w:rsidRPr="00BC5284" w:rsidRDefault="00BC5284">
            <w:pPr>
              <w:pStyle w:val="TableText"/>
            </w:pPr>
            <w:r w:rsidRPr="00BC5284">
              <w:rPr>
                <w:rStyle w:val="TabletextBold"/>
                <w:rFonts w:cs="FreightSans Pro Bold"/>
                <w:bCs/>
              </w:rPr>
              <w:t>WA</w:t>
            </w:r>
          </w:p>
        </w:tc>
        <w:tc>
          <w:tcPr>
            <w:tcW w:w="3401"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7D1D6822" w14:textId="77777777" w:rsidR="00BC5284" w:rsidRPr="00BC5284" w:rsidRDefault="00BC5284">
            <w:pPr>
              <w:pStyle w:val="TableText"/>
            </w:pPr>
            <w:r w:rsidRPr="00BC5284">
              <w:t>Places of State heritage significance are protected through the State Register of Heritage Places (SRHP). The Heritage Council of Western Australian is a nine-member statutory authority/body that advises and recommends listings in the SRHP. The Council works with and through the Assistant Director General Heritage Services of the Department of Planning, Lands and Heritage, which also maintains the register.</w:t>
            </w:r>
          </w:p>
        </w:tc>
        <w:tc>
          <w:tcPr>
            <w:tcW w:w="3402" w:type="dxa"/>
            <w:tcBorders>
              <w:top w:val="single" w:sz="2" w:space="0" w:color="000000"/>
              <w:left w:val="single" w:sz="6" w:space="0" w:color="000000"/>
              <w:bottom w:val="single" w:sz="2" w:space="0" w:color="000000"/>
              <w:right w:val="single" w:sz="6" w:space="0" w:color="000000"/>
            </w:tcBorders>
            <w:tcMar>
              <w:top w:w="170" w:type="dxa"/>
              <w:left w:w="80" w:type="dxa"/>
              <w:bottom w:w="170" w:type="dxa"/>
              <w:right w:w="80" w:type="dxa"/>
            </w:tcMar>
          </w:tcPr>
          <w:p w14:paraId="6C30DE74" w14:textId="77777777" w:rsidR="00BC5284" w:rsidRPr="00BC5284" w:rsidRDefault="00BC5284">
            <w:pPr>
              <w:pStyle w:val="TableText"/>
            </w:pPr>
            <w:r w:rsidRPr="00BC5284">
              <w:t>Places of local significance are identified in a local council’s local heritage survey (formerly known as a local government inventory/municipal inventory) and protected through a local council’s planning scheme.</w:t>
            </w:r>
          </w:p>
        </w:tc>
      </w:tr>
    </w:tbl>
    <w:p w14:paraId="1E3EFD60" w14:textId="77777777" w:rsidR="00BC5284" w:rsidRDefault="00BC5284">
      <w:pPr>
        <w:pStyle w:val="BasicParagraph"/>
      </w:pPr>
    </w:p>
    <w:p w14:paraId="718B1274" w14:textId="77777777" w:rsidR="00BC5284" w:rsidRDefault="0012618E">
      <w:pPr>
        <w:pStyle w:val="Headingsubtitle1"/>
        <w:rPr>
          <w:color w:val="000000"/>
        </w:rPr>
      </w:pPr>
      <w:r>
        <w:rPr>
          <w:color w:val="000000"/>
        </w:rPr>
        <w:br w:type="page"/>
      </w:r>
      <w:r w:rsidR="00BC5284">
        <w:rPr>
          <w:color w:val="000000"/>
        </w:rPr>
        <w:lastRenderedPageBreak/>
        <w:t>Appendix 2 – Stocktake table</w:t>
      </w:r>
    </w:p>
    <w:tbl>
      <w:tblPr>
        <w:tblW w:w="10490" w:type="dxa"/>
        <w:tblInd w:w="57" w:type="dxa"/>
        <w:tblLayout w:type="fixed"/>
        <w:tblCellMar>
          <w:left w:w="0" w:type="dxa"/>
          <w:right w:w="0" w:type="dxa"/>
        </w:tblCellMar>
        <w:tblLook w:val="0000" w:firstRow="0" w:lastRow="0" w:firstColumn="0" w:lastColumn="0" w:noHBand="0" w:noVBand="0"/>
      </w:tblPr>
      <w:tblGrid>
        <w:gridCol w:w="2195"/>
        <w:gridCol w:w="1447"/>
        <w:gridCol w:w="652"/>
        <w:gridCol w:w="7"/>
        <w:gridCol w:w="684"/>
        <w:gridCol w:w="708"/>
        <w:gridCol w:w="567"/>
        <w:gridCol w:w="426"/>
        <w:gridCol w:w="495"/>
        <w:gridCol w:w="72"/>
        <w:gridCol w:w="425"/>
        <w:gridCol w:w="320"/>
        <w:gridCol w:w="247"/>
        <w:gridCol w:w="686"/>
        <w:gridCol w:w="850"/>
        <w:gridCol w:w="709"/>
      </w:tblGrid>
      <w:tr w:rsidR="00855241" w:rsidRPr="00F80BF7" w14:paraId="2F103B89" w14:textId="77777777" w:rsidTr="00073CE4">
        <w:trPr>
          <w:trHeight w:val="1663"/>
        </w:trPr>
        <w:tc>
          <w:tcPr>
            <w:tcW w:w="2195"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cPr>
          <w:p w14:paraId="7F4FF063" w14:textId="77777777" w:rsidR="00855241" w:rsidRPr="00F80BF7" w:rsidRDefault="00855241">
            <w:pPr>
              <w:pStyle w:val="TableText"/>
            </w:pPr>
            <w:r w:rsidRPr="00F80BF7">
              <w:rPr>
                <w:rStyle w:val="TabletextBold"/>
                <w:rFonts w:cs="FreightSans Pro Bold"/>
                <w:bCs/>
                <w:sz w:val="14"/>
                <w:szCs w:val="14"/>
              </w:rPr>
              <w:t>Council (Type)</w:t>
            </w:r>
          </w:p>
        </w:tc>
        <w:tc>
          <w:tcPr>
            <w:tcW w:w="1447"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cPr>
          <w:p w14:paraId="38C5F6BC" w14:textId="77777777" w:rsidR="00855241" w:rsidRPr="00F80BF7" w:rsidRDefault="00855241">
            <w:pPr>
              <w:pStyle w:val="TableText"/>
            </w:pPr>
            <w:r w:rsidRPr="00F80BF7">
              <w:rPr>
                <w:rStyle w:val="TabletextBold"/>
                <w:rFonts w:cs="FreightSans Pro Bold"/>
                <w:bCs/>
                <w:sz w:val="14"/>
                <w:szCs w:val="14"/>
              </w:rPr>
              <w:t>Council grouping</w:t>
            </w:r>
          </w:p>
        </w:tc>
        <w:tc>
          <w:tcPr>
            <w:tcW w:w="659"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1D974C03" w14:textId="77777777" w:rsidR="00855241" w:rsidRPr="00F80BF7" w:rsidRDefault="00855241">
            <w:pPr>
              <w:pStyle w:val="TableText"/>
            </w:pPr>
            <w:r w:rsidRPr="00F80BF7">
              <w:rPr>
                <w:rStyle w:val="TabletextBold"/>
                <w:rFonts w:cs="FreightSans Pro Bold"/>
                <w:bCs/>
                <w:sz w:val="14"/>
                <w:szCs w:val="14"/>
              </w:rPr>
              <w:t>Council area (km^2)</w:t>
            </w:r>
          </w:p>
        </w:tc>
        <w:tc>
          <w:tcPr>
            <w:tcW w:w="684"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04BCE07" w14:textId="77777777" w:rsidR="00855241" w:rsidRPr="00F80BF7" w:rsidRDefault="00855241">
            <w:pPr>
              <w:pStyle w:val="TableText"/>
            </w:pPr>
            <w:r w:rsidRPr="00F80BF7">
              <w:rPr>
                <w:rStyle w:val="TabletextBold"/>
                <w:rFonts w:cs="FreightSans Pro Bold"/>
                <w:bCs/>
                <w:sz w:val="14"/>
                <w:szCs w:val="14"/>
              </w:rPr>
              <w:t>Council population (2018)</w:t>
            </w:r>
          </w:p>
        </w:tc>
        <w:tc>
          <w:tcPr>
            <w:tcW w:w="1275"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072BD291" w14:textId="77777777" w:rsidR="00855241" w:rsidRPr="00F80BF7" w:rsidRDefault="00855241">
            <w:pPr>
              <w:pStyle w:val="TableText"/>
            </w:pPr>
            <w:r w:rsidRPr="00F80BF7">
              <w:rPr>
                <w:rStyle w:val="TabletextBold"/>
                <w:rFonts w:cs="FreightSans Pro Bold"/>
                <w:bCs/>
                <w:sz w:val="14"/>
                <w:szCs w:val="14"/>
              </w:rPr>
              <w:t>Number of individual heritage places of state significance* (5/4/19)</w:t>
            </w:r>
          </w:p>
        </w:tc>
        <w:tc>
          <w:tcPr>
            <w:tcW w:w="921"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3739A6FE" w14:textId="77777777" w:rsidR="00855241" w:rsidRPr="00F80BF7" w:rsidRDefault="00855241">
            <w:pPr>
              <w:pStyle w:val="TableText"/>
            </w:pPr>
            <w:r w:rsidRPr="00F80BF7">
              <w:rPr>
                <w:rStyle w:val="TabletextBold"/>
                <w:rFonts w:cs="FreightSans Pro Bold"/>
                <w:bCs/>
                <w:sz w:val="14"/>
                <w:szCs w:val="14"/>
              </w:rPr>
              <w:t>Number of individual heritage places of local significance (5/4/19)</w:t>
            </w:r>
          </w:p>
        </w:tc>
        <w:tc>
          <w:tcPr>
            <w:tcW w:w="817" w:type="dxa"/>
            <w:gridSpan w:val="3"/>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39C83F75" w14:textId="77777777" w:rsidR="00855241" w:rsidRPr="00F80BF7" w:rsidRDefault="00855241">
            <w:pPr>
              <w:pStyle w:val="TableText"/>
            </w:pPr>
            <w:r w:rsidRPr="00F80BF7">
              <w:rPr>
                <w:rStyle w:val="TabletextBold"/>
                <w:rFonts w:cs="FreightSans Pro Bold"/>
                <w:bCs/>
                <w:sz w:val="14"/>
                <w:szCs w:val="14"/>
              </w:rPr>
              <w:t>Total number of individual places (5/4/19)</w:t>
            </w:r>
          </w:p>
        </w:tc>
        <w:tc>
          <w:tcPr>
            <w:tcW w:w="933"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2373588" w14:textId="77777777" w:rsidR="00855241" w:rsidRPr="00F80BF7" w:rsidRDefault="00855241">
            <w:pPr>
              <w:pStyle w:val="TableText"/>
            </w:pPr>
            <w:r w:rsidRPr="00F80BF7">
              <w:rPr>
                <w:rStyle w:val="TabletextBold"/>
                <w:rFonts w:cs="FreightSans Pro Bold"/>
                <w:bCs/>
                <w:sz w:val="14"/>
                <w:szCs w:val="14"/>
              </w:rPr>
              <w:t>Total number of precinct places (5/4/19)</w:t>
            </w:r>
          </w:p>
        </w:tc>
        <w:tc>
          <w:tcPr>
            <w:tcW w:w="850"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2B0D8DEE" w14:textId="77777777" w:rsidR="00855241" w:rsidRPr="00F80BF7" w:rsidRDefault="00855241">
            <w:pPr>
              <w:pStyle w:val="TableText"/>
            </w:pPr>
            <w:r w:rsidRPr="00F80BF7">
              <w:rPr>
                <w:rStyle w:val="TabletextBold"/>
                <w:rFonts w:cs="FreightSans Pro Bold"/>
                <w:bCs/>
                <w:sz w:val="14"/>
                <w:szCs w:val="14"/>
              </w:rPr>
              <w:t>Total number of heritage places (5/4/19)</w:t>
            </w:r>
          </w:p>
        </w:tc>
        <w:tc>
          <w:tcPr>
            <w:tcW w:w="709"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420AB00A" w14:textId="77777777" w:rsidR="00855241" w:rsidRPr="00F80BF7" w:rsidRDefault="00855241">
            <w:pPr>
              <w:pStyle w:val="TableText"/>
            </w:pPr>
            <w:r w:rsidRPr="00F80BF7">
              <w:rPr>
                <w:rStyle w:val="TabletextBold"/>
                <w:rFonts w:cs="FreightSans Pro Bold"/>
                <w:bCs/>
                <w:sz w:val="14"/>
                <w:szCs w:val="14"/>
              </w:rPr>
              <w:t>Total number of heritage properties (7/11/19)</w:t>
            </w:r>
          </w:p>
        </w:tc>
      </w:tr>
      <w:tr w:rsidR="00855241" w:rsidRPr="00BC5284" w14:paraId="57791F32" w14:textId="77777777" w:rsidTr="00073CE4">
        <w:trPr>
          <w:trHeight w:val="89"/>
        </w:trPr>
        <w:tc>
          <w:tcPr>
            <w:tcW w:w="2195"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1CC8D0B0" w14:textId="77777777" w:rsidR="00855241" w:rsidRPr="00BC5284" w:rsidRDefault="00855241">
            <w:pPr>
              <w:pStyle w:val="TableTextStocktake"/>
            </w:pPr>
            <w:r w:rsidRPr="00BC5284">
              <w:rPr>
                <w:sz w:val="14"/>
                <w:szCs w:val="14"/>
              </w:rPr>
              <w:t>Alpine (S)</w:t>
            </w:r>
          </w:p>
        </w:tc>
        <w:tc>
          <w:tcPr>
            <w:tcW w:w="1447"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5EFAA236"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502DED40" w14:textId="77777777" w:rsidR="00855241" w:rsidRPr="00BC5284" w:rsidRDefault="00855241">
            <w:pPr>
              <w:pStyle w:val="TableTextStocktake"/>
              <w:jc w:val="right"/>
            </w:pPr>
            <w:r w:rsidRPr="00BC5284">
              <w:rPr>
                <w:sz w:val="14"/>
                <w:szCs w:val="14"/>
              </w:rPr>
              <w:t>4,788</w:t>
            </w:r>
          </w:p>
        </w:tc>
        <w:tc>
          <w:tcPr>
            <w:tcW w:w="684"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0CF37EDA" w14:textId="77777777" w:rsidR="00855241" w:rsidRPr="00BC5284" w:rsidRDefault="00855241">
            <w:pPr>
              <w:pStyle w:val="TableTextStocktake"/>
              <w:jc w:val="right"/>
            </w:pPr>
            <w:r w:rsidRPr="00BC5284">
              <w:rPr>
                <w:sz w:val="14"/>
                <w:szCs w:val="14"/>
              </w:rPr>
              <w:t>12,730</w:t>
            </w:r>
          </w:p>
        </w:tc>
        <w:tc>
          <w:tcPr>
            <w:tcW w:w="1275"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7456396C" w14:textId="77777777" w:rsidR="00855241" w:rsidRPr="00BC5284" w:rsidRDefault="00855241">
            <w:pPr>
              <w:pStyle w:val="TableTextStocktake"/>
              <w:jc w:val="right"/>
            </w:pPr>
            <w:r w:rsidRPr="00BC5284">
              <w:rPr>
                <w:sz w:val="14"/>
                <w:szCs w:val="14"/>
              </w:rPr>
              <w:t>15</w:t>
            </w:r>
          </w:p>
        </w:tc>
        <w:tc>
          <w:tcPr>
            <w:tcW w:w="921"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2AE5E856" w14:textId="77777777" w:rsidR="00855241" w:rsidRPr="00BC5284" w:rsidRDefault="00855241">
            <w:pPr>
              <w:pStyle w:val="TableTextStocktake"/>
              <w:jc w:val="right"/>
            </w:pPr>
            <w:r w:rsidRPr="00BC5284">
              <w:rPr>
                <w:sz w:val="14"/>
                <w:szCs w:val="14"/>
              </w:rPr>
              <w:t>150</w:t>
            </w:r>
          </w:p>
        </w:tc>
        <w:tc>
          <w:tcPr>
            <w:tcW w:w="817" w:type="dxa"/>
            <w:gridSpan w:val="3"/>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510EE7B5" w14:textId="77777777" w:rsidR="00855241" w:rsidRPr="00BC5284" w:rsidRDefault="00855241">
            <w:pPr>
              <w:pStyle w:val="TableTextStocktake"/>
              <w:jc w:val="right"/>
            </w:pPr>
            <w:r w:rsidRPr="00BC5284">
              <w:rPr>
                <w:sz w:val="14"/>
                <w:szCs w:val="14"/>
              </w:rPr>
              <w:t>165</w:t>
            </w:r>
          </w:p>
        </w:tc>
        <w:tc>
          <w:tcPr>
            <w:tcW w:w="933"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43DBFAFF"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6938E638" w14:textId="77777777" w:rsidR="00855241" w:rsidRPr="00BC5284" w:rsidRDefault="00855241">
            <w:pPr>
              <w:pStyle w:val="TableTextStocktake"/>
              <w:jc w:val="right"/>
            </w:pPr>
            <w:r w:rsidRPr="00BC5284">
              <w:rPr>
                <w:sz w:val="14"/>
                <w:szCs w:val="14"/>
              </w:rPr>
              <w:t>166</w:t>
            </w:r>
          </w:p>
        </w:tc>
        <w:tc>
          <w:tcPr>
            <w:tcW w:w="709" w:type="dxa"/>
            <w:tcBorders>
              <w:top w:val="single" w:sz="2" w:space="0" w:color="000000"/>
              <w:left w:val="single" w:sz="6" w:space="0" w:color="000000"/>
              <w:bottom w:val="single" w:sz="2" w:space="0" w:color="000000"/>
              <w:right w:val="single" w:sz="6" w:space="0" w:color="7BCCC4"/>
            </w:tcBorders>
            <w:tcMar>
              <w:top w:w="40" w:type="dxa"/>
              <w:left w:w="80" w:type="dxa"/>
              <w:bottom w:w="37" w:type="dxa"/>
              <w:right w:w="80" w:type="dxa"/>
            </w:tcMar>
          </w:tcPr>
          <w:p w14:paraId="46E4ED87" w14:textId="77777777" w:rsidR="00855241" w:rsidRPr="00BC5284" w:rsidRDefault="00855241">
            <w:pPr>
              <w:pStyle w:val="TableTextStocktake"/>
              <w:jc w:val="right"/>
            </w:pPr>
            <w:r w:rsidRPr="00BC5284">
              <w:rPr>
                <w:sz w:val="14"/>
                <w:szCs w:val="14"/>
              </w:rPr>
              <w:t>464</w:t>
            </w:r>
          </w:p>
        </w:tc>
      </w:tr>
      <w:tr w:rsidR="00855241" w:rsidRPr="00BC5284" w14:paraId="6FA9B03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AEA21F" w14:textId="77777777" w:rsidR="00855241" w:rsidRPr="00BC5284" w:rsidRDefault="00855241">
            <w:pPr>
              <w:pStyle w:val="TableTextStocktake"/>
            </w:pPr>
            <w:r w:rsidRPr="00BC5284">
              <w:rPr>
                <w:sz w:val="14"/>
                <w:szCs w:val="14"/>
              </w:rPr>
              <w:t>Ararat (RC)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8E5AC0"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3C4946" w14:textId="77777777" w:rsidR="00855241" w:rsidRPr="00BC5284" w:rsidRDefault="00855241">
            <w:pPr>
              <w:pStyle w:val="TableTextStocktake"/>
              <w:jc w:val="right"/>
            </w:pPr>
            <w:r w:rsidRPr="00BC5284">
              <w:rPr>
                <w:sz w:val="14"/>
                <w:szCs w:val="14"/>
              </w:rPr>
              <w:t>4,211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D3CDE3" w14:textId="77777777" w:rsidR="00855241" w:rsidRPr="00BC5284" w:rsidRDefault="00855241">
            <w:pPr>
              <w:pStyle w:val="TableTextStocktake"/>
              <w:jc w:val="right"/>
            </w:pPr>
            <w:r w:rsidRPr="00BC5284">
              <w:rPr>
                <w:sz w:val="14"/>
                <w:szCs w:val="14"/>
              </w:rPr>
              <w:t>11,795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8E2D91" w14:textId="77777777" w:rsidR="00855241" w:rsidRPr="00BC5284" w:rsidRDefault="00855241">
            <w:pPr>
              <w:pStyle w:val="TableTextStocktake"/>
              <w:jc w:val="right"/>
            </w:pPr>
            <w:r w:rsidRPr="00BC5284">
              <w:rPr>
                <w:sz w:val="14"/>
                <w:szCs w:val="14"/>
              </w:rPr>
              <w:t>14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77050A" w14:textId="77777777" w:rsidR="00855241" w:rsidRPr="00BC5284" w:rsidRDefault="00855241">
            <w:pPr>
              <w:pStyle w:val="TableTextStocktake"/>
              <w:jc w:val="right"/>
            </w:pPr>
            <w:r w:rsidRPr="00BC5284">
              <w:rPr>
                <w:sz w:val="14"/>
                <w:szCs w:val="14"/>
              </w:rPr>
              <w:t>109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094A18" w14:textId="77777777" w:rsidR="00855241" w:rsidRPr="00BC5284" w:rsidRDefault="00855241">
            <w:pPr>
              <w:pStyle w:val="TableTextStocktake"/>
              <w:jc w:val="right"/>
            </w:pPr>
            <w:r w:rsidRPr="00BC5284">
              <w:rPr>
                <w:sz w:val="14"/>
                <w:szCs w:val="14"/>
              </w:rPr>
              <w:t>123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6C3F0D" w14:textId="77777777" w:rsidR="00855241" w:rsidRPr="00BC5284" w:rsidRDefault="00855241">
            <w:pPr>
              <w:pStyle w:val="TableTextStocktake"/>
              <w:jc w:val="right"/>
            </w:pPr>
            <w:r w:rsidRPr="00BC5284">
              <w:rPr>
                <w:sz w:val="14"/>
                <w:szCs w:val="14"/>
              </w:rPr>
              <w:t>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BBC8BE" w14:textId="77777777" w:rsidR="00855241" w:rsidRPr="00BC5284" w:rsidRDefault="00855241">
            <w:pPr>
              <w:pStyle w:val="TableTextStocktake"/>
              <w:jc w:val="right"/>
            </w:pPr>
            <w:r w:rsidRPr="00BC5284">
              <w:rPr>
                <w:sz w:val="14"/>
                <w:szCs w:val="14"/>
              </w:rPr>
              <w:t>130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010CD89" w14:textId="77777777" w:rsidR="00855241" w:rsidRPr="00BC5284" w:rsidRDefault="00855241">
            <w:pPr>
              <w:pStyle w:val="TableTextStocktake"/>
              <w:jc w:val="right"/>
            </w:pPr>
            <w:r w:rsidRPr="00BC5284">
              <w:rPr>
                <w:sz w:val="14"/>
                <w:szCs w:val="14"/>
              </w:rPr>
              <w:t>284</w:t>
            </w:r>
          </w:p>
        </w:tc>
      </w:tr>
      <w:tr w:rsidR="00855241" w:rsidRPr="00BC5284" w14:paraId="7244CD7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D96D8A" w14:textId="77777777" w:rsidR="00855241" w:rsidRPr="00BC5284" w:rsidRDefault="00855241">
            <w:pPr>
              <w:pStyle w:val="TableTextStocktake"/>
            </w:pPr>
            <w:r w:rsidRPr="00BC5284">
              <w:rPr>
                <w:sz w:val="14"/>
                <w:szCs w:val="14"/>
              </w:rPr>
              <w:t>Ballarat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4C3F3E"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230DE1" w14:textId="77777777" w:rsidR="00855241" w:rsidRPr="00BC5284" w:rsidRDefault="00855241">
            <w:pPr>
              <w:pStyle w:val="TableTextStocktake"/>
              <w:jc w:val="right"/>
            </w:pPr>
            <w:r w:rsidRPr="00BC5284">
              <w:rPr>
                <w:sz w:val="14"/>
                <w:szCs w:val="14"/>
              </w:rPr>
              <w:t>739</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D86135" w14:textId="77777777" w:rsidR="00855241" w:rsidRPr="00BC5284" w:rsidRDefault="00855241">
            <w:pPr>
              <w:pStyle w:val="TableTextStocktake"/>
              <w:jc w:val="right"/>
            </w:pPr>
            <w:r w:rsidRPr="00BC5284">
              <w:rPr>
                <w:sz w:val="14"/>
                <w:szCs w:val="14"/>
              </w:rPr>
              <w:t>107,325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15FA75" w14:textId="77777777" w:rsidR="00855241" w:rsidRPr="00BC5284" w:rsidRDefault="00855241">
            <w:pPr>
              <w:pStyle w:val="TableTextStocktake"/>
              <w:jc w:val="right"/>
            </w:pPr>
            <w:r w:rsidRPr="00BC5284">
              <w:rPr>
                <w:sz w:val="14"/>
                <w:szCs w:val="14"/>
              </w:rPr>
              <w:t>61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3629ED" w14:textId="77777777" w:rsidR="00855241" w:rsidRPr="00BC5284" w:rsidRDefault="00855241">
            <w:pPr>
              <w:pStyle w:val="TableTextStocktake"/>
              <w:jc w:val="right"/>
            </w:pPr>
            <w:r w:rsidRPr="00BC5284">
              <w:rPr>
                <w:sz w:val="14"/>
                <w:szCs w:val="14"/>
              </w:rPr>
              <w:t>107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F3579E" w14:textId="77777777" w:rsidR="00855241" w:rsidRPr="00BC5284" w:rsidRDefault="00855241">
            <w:pPr>
              <w:pStyle w:val="TableTextStocktake"/>
              <w:jc w:val="right"/>
            </w:pPr>
            <w:r w:rsidRPr="00BC5284">
              <w:rPr>
                <w:sz w:val="14"/>
                <w:szCs w:val="14"/>
              </w:rPr>
              <w:t>168</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751F2B" w14:textId="77777777" w:rsidR="00855241" w:rsidRPr="00BC5284" w:rsidRDefault="00855241">
            <w:pPr>
              <w:pStyle w:val="TableTextStocktake"/>
              <w:jc w:val="right"/>
            </w:pPr>
            <w:r w:rsidRPr="00BC5284">
              <w:rPr>
                <w:sz w:val="14"/>
                <w:szCs w:val="14"/>
              </w:rPr>
              <w:t>28</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397522" w14:textId="77777777" w:rsidR="00855241" w:rsidRPr="00BC5284" w:rsidRDefault="00855241">
            <w:pPr>
              <w:pStyle w:val="TableTextStocktake"/>
              <w:jc w:val="right"/>
            </w:pPr>
            <w:r w:rsidRPr="00BC5284">
              <w:rPr>
                <w:sz w:val="14"/>
                <w:szCs w:val="14"/>
              </w:rPr>
              <w:t>196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14F8241" w14:textId="77777777" w:rsidR="00855241" w:rsidRPr="00BC5284" w:rsidRDefault="00855241">
            <w:pPr>
              <w:pStyle w:val="TableTextStocktake"/>
              <w:jc w:val="right"/>
            </w:pPr>
            <w:r w:rsidRPr="00BC5284">
              <w:rPr>
                <w:sz w:val="14"/>
                <w:szCs w:val="14"/>
              </w:rPr>
              <w:t>10,959</w:t>
            </w:r>
          </w:p>
        </w:tc>
      </w:tr>
      <w:tr w:rsidR="00855241" w:rsidRPr="00BC5284" w14:paraId="2AC4CDE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8BC7AA" w14:textId="77777777" w:rsidR="00855241" w:rsidRPr="00BC5284" w:rsidRDefault="00855241">
            <w:pPr>
              <w:pStyle w:val="TableTextStocktake"/>
            </w:pPr>
            <w:r w:rsidRPr="00BC5284">
              <w:rPr>
                <w:sz w:val="14"/>
                <w:szCs w:val="14"/>
              </w:rPr>
              <w:t>Banyule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77B8D3"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FA37FE" w14:textId="77777777" w:rsidR="00855241" w:rsidRPr="00BC5284" w:rsidRDefault="00855241">
            <w:pPr>
              <w:pStyle w:val="TableTextStocktake"/>
              <w:jc w:val="right"/>
            </w:pPr>
            <w:r w:rsidRPr="00BC5284">
              <w:rPr>
                <w:sz w:val="14"/>
                <w:szCs w:val="14"/>
              </w:rPr>
              <w:t>63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42CDBB" w14:textId="77777777" w:rsidR="00855241" w:rsidRPr="00BC5284" w:rsidRDefault="00855241">
            <w:pPr>
              <w:pStyle w:val="TableTextStocktake"/>
              <w:jc w:val="right"/>
            </w:pPr>
            <w:r w:rsidRPr="00BC5284">
              <w:rPr>
                <w:sz w:val="14"/>
                <w:szCs w:val="14"/>
              </w:rPr>
              <w:t>130,237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DB838F" w14:textId="77777777" w:rsidR="00855241" w:rsidRPr="00BC5284" w:rsidRDefault="00855241">
            <w:pPr>
              <w:pStyle w:val="TableTextStocktake"/>
              <w:jc w:val="right"/>
            </w:pPr>
            <w:r w:rsidRPr="00BC5284">
              <w:rPr>
                <w:sz w:val="14"/>
                <w:szCs w:val="14"/>
              </w:rPr>
              <w:t>21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52CBE9" w14:textId="77777777" w:rsidR="00855241" w:rsidRPr="00BC5284" w:rsidRDefault="00855241">
            <w:pPr>
              <w:pStyle w:val="TableTextStocktake"/>
              <w:jc w:val="right"/>
            </w:pPr>
            <w:r w:rsidRPr="00BC5284">
              <w:rPr>
                <w:sz w:val="14"/>
                <w:szCs w:val="14"/>
              </w:rPr>
              <w:t>167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655DA6" w14:textId="77777777" w:rsidR="00855241" w:rsidRPr="00BC5284" w:rsidRDefault="00855241">
            <w:pPr>
              <w:pStyle w:val="TableTextStocktake"/>
              <w:jc w:val="right"/>
            </w:pPr>
            <w:r w:rsidRPr="00BC5284">
              <w:rPr>
                <w:sz w:val="14"/>
                <w:szCs w:val="14"/>
              </w:rPr>
              <w:t>188</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C65F08" w14:textId="77777777" w:rsidR="00855241" w:rsidRPr="00BC5284" w:rsidRDefault="00855241">
            <w:pPr>
              <w:pStyle w:val="TableTextStocktake"/>
              <w:jc w:val="right"/>
            </w:pPr>
            <w:r w:rsidRPr="00BC5284">
              <w:rPr>
                <w:sz w:val="14"/>
                <w:szCs w:val="14"/>
              </w:rPr>
              <w:t>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387274" w14:textId="77777777" w:rsidR="00855241" w:rsidRPr="00BC5284" w:rsidRDefault="00855241">
            <w:pPr>
              <w:pStyle w:val="TableTextStocktake"/>
              <w:jc w:val="right"/>
            </w:pPr>
            <w:r w:rsidRPr="00BC5284">
              <w:rPr>
                <w:sz w:val="14"/>
                <w:szCs w:val="14"/>
              </w:rPr>
              <w:t>190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E8B8D9E" w14:textId="77777777" w:rsidR="00855241" w:rsidRPr="00BC5284" w:rsidRDefault="00855241">
            <w:pPr>
              <w:pStyle w:val="TableTextStocktake"/>
              <w:jc w:val="right"/>
            </w:pPr>
            <w:r w:rsidRPr="00BC5284">
              <w:rPr>
                <w:sz w:val="14"/>
                <w:szCs w:val="14"/>
              </w:rPr>
              <w:t>1,430</w:t>
            </w:r>
          </w:p>
        </w:tc>
      </w:tr>
      <w:tr w:rsidR="00855241" w:rsidRPr="00BC5284" w14:paraId="433628F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1C4E31" w14:textId="77777777" w:rsidR="00855241" w:rsidRPr="00BC5284" w:rsidRDefault="00855241">
            <w:pPr>
              <w:pStyle w:val="TableTextStocktake"/>
            </w:pPr>
            <w:r w:rsidRPr="00BC5284">
              <w:rPr>
                <w:sz w:val="14"/>
                <w:szCs w:val="14"/>
              </w:rPr>
              <w:t>Bass Coast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F092E0"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3F9CDB" w14:textId="77777777" w:rsidR="00855241" w:rsidRPr="00BC5284" w:rsidRDefault="00855241">
            <w:pPr>
              <w:pStyle w:val="TableTextStocktake"/>
              <w:jc w:val="right"/>
            </w:pPr>
            <w:r w:rsidRPr="00BC5284">
              <w:rPr>
                <w:sz w:val="14"/>
                <w:szCs w:val="14"/>
              </w:rPr>
              <w:t>866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712C3E" w14:textId="77777777" w:rsidR="00855241" w:rsidRPr="00BC5284" w:rsidRDefault="00855241">
            <w:pPr>
              <w:pStyle w:val="TableTextStocktake"/>
              <w:jc w:val="right"/>
            </w:pPr>
            <w:r w:rsidRPr="00BC5284">
              <w:rPr>
                <w:sz w:val="14"/>
                <w:szCs w:val="14"/>
              </w:rPr>
              <w:t>35,327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BB0038"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0438F0" w14:textId="77777777" w:rsidR="00855241" w:rsidRPr="00BC5284" w:rsidRDefault="00855241">
            <w:pPr>
              <w:pStyle w:val="TableTextStocktake"/>
              <w:jc w:val="right"/>
            </w:pPr>
            <w:r w:rsidRPr="00BC5284">
              <w:rPr>
                <w:sz w:val="14"/>
                <w:szCs w:val="14"/>
              </w:rPr>
              <w:t>160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092BCC" w14:textId="77777777" w:rsidR="00855241" w:rsidRPr="00BC5284" w:rsidRDefault="00855241">
            <w:pPr>
              <w:pStyle w:val="TableTextStocktake"/>
              <w:jc w:val="right"/>
            </w:pPr>
            <w:r w:rsidRPr="00BC5284">
              <w:rPr>
                <w:sz w:val="14"/>
                <w:szCs w:val="14"/>
              </w:rPr>
              <w:t>167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E21E6F" w14:textId="77777777" w:rsidR="00855241" w:rsidRPr="00BC5284" w:rsidRDefault="00855241">
            <w:pPr>
              <w:pStyle w:val="TableTextStocktake"/>
              <w:jc w:val="right"/>
            </w:pPr>
            <w:r w:rsidRPr="00BC5284">
              <w:rPr>
                <w:sz w:val="14"/>
                <w:szCs w:val="14"/>
              </w:rPr>
              <w:t>4</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B63C67" w14:textId="77777777" w:rsidR="00855241" w:rsidRPr="00BC5284" w:rsidRDefault="00855241">
            <w:pPr>
              <w:pStyle w:val="TableTextStocktake"/>
              <w:jc w:val="right"/>
            </w:pPr>
            <w:r w:rsidRPr="00BC5284">
              <w:rPr>
                <w:sz w:val="14"/>
                <w:szCs w:val="14"/>
              </w:rPr>
              <w:t>171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937F81D" w14:textId="77777777" w:rsidR="00855241" w:rsidRPr="00BC5284" w:rsidRDefault="00855241">
            <w:pPr>
              <w:pStyle w:val="TableTextStocktake"/>
              <w:jc w:val="right"/>
            </w:pPr>
            <w:r w:rsidRPr="00BC5284">
              <w:rPr>
                <w:sz w:val="14"/>
                <w:szCs w:val="14"/>
              </w:rPr>
              <w:t>463</w:t>
            </w:r>
          </w:p>
        </w:tc>
      </w:tr>
      <w:tr w:rsidR="00855241" w:rsidRPr="00BC5284" w14:paraId="0A554B7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CE103B" w14:textId="77777777" w:rsidR="00855241" w:rsidRPr="00BC5284" w:rsidRDefault="00855241">
            <w:pPr>
              <w:pStyle w:val="TableTextStocktake"/>
            </w:pPr>
            <w:r w:rsidRPr="00BC5284">
              <w:rPr>
                <w:sz w:val="14"/>
                <w:szCs w:val="14"/>
              </w:rPr>
              <w:t>Baw Baw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515703"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83F50B" w14:textId="77777777" w:rsidR="00855241" w:rsidRPr="00BC5284" w:rsidRDefault="00855241">
            <w:pPr>
              <w:pStyle w:val="TableTextStocktake"/>
              <w:jc w:val="right"/>
            </w:pPr>
            <w:r w:rsidRPr="00BC5284">
              <w:rPr>
                <w:sz w:val="14"/>
                <w:szCs w:val="14"/>
              </w:rPr>
              <w:t>4,028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5C70A7" w14:textId="77777777" w:rsidR="00855241" w:rsidRPr="00BC5284" w:rsidRDefault="00855241">
            <w:pPr>
              <w:pStyle w:val="TableTextStocktake"/>
              <w:jc w:val="right"/>
            </w:pPr>
            <w:r w:rsidRPr="00BC5284">
              <w:rPr>
                <w:sz w:val="14"/>
                <w:szCs w:val="14"/>
              </w:rPr>
              <w:t>52,015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5A7F59" w14:textId="77777777" w:rsidR="00855241" w:rsidRPr="00BC5284" w:rsidRDefault="00855241">
            <w:pPr>
              <w:pStyle w:val="TableTextStocktake"/>
              <w:jc w:val="right"/>
            </w:pPr>
            <w:r w:rsidRPr="00BC5284">
              <w:rPr>
                <w:sz w:val="14"/>
                <w:szCs w:val="14"/>
              </w:rPr>
              <w:t>16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D45A83" w14:textId="77777777" w:rsidR="00855241" w:rsidRPr="00BC5284" w:rsidRDefault="00855241">
            <w:pPr>
              <w:pStyle w:val="TableTextStocktake"/>
              <w:jc w:val="right"/>
            </w:pPr>
            <w:r w:rsidRPr="00BC5284">
              <w:rPr>
                <w:sz w:val="14"/>
                <w:szCs w:val="14"/>
              </w:rPr>
              <w:t>303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A143FB" w14:textId="77777777" w:rsidR="00855241" w:rsidRPr="00BC5284" w:rsidRDefault="00855241">
            <w:pPr>
              <w:pStyle w:val="TableTextStocktake"/>
              <w:jc w:val="right"/>
            </w:pPr>
            <w:r w:rsidRPr="00BC5284">
              <w:rPr>
                <w:sz w:val="14"/>
                <w:szCs w:val="14"/>
              </w:rPr>
              <w:t>319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B9DFB5" w14:textId="77777777" w:rsidR="00855241" w:rsidRPr="00BC5284" w:rsidRDefault="00855241">
            <w:pPr>
              <w:pStyle w:val="TableTextStocktake"/>
              <w:jc w:val="right"/>
            </w:pPr>
            <w:r w:rsidRPr="00BC5284">
              <w:rPr>
                <w:sz w:val="14"/>
                <w:szCs w:val="14"/>
              </w:rPr>
              <w:t>10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C7EF68" w14:textId="77777777" w:rsidR="00855241" w:rsidRPr="00BC5284" w:rsidRDefault="00855241">
            <w:pPr>
              <w:pStyle w:val="TableTextStocktake"/>
              <w:jc w:val="right"/>
            </w:pPr>
            <w:r w:rsidRPr="00BC5284">
              <w:rPr>
                <w:sz w:val="14"/>
                <w:szCs w:val="14"/>
              </w:rPr>
              <w:t>329</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A383BA6" w14:textId="77777777" w:rsidR="00855241" w:rsidRPr="00BC5284" w:rsidRDefault="00855241">
            <w:pPr>
              <w:pStyle w:val="TableTextStocktake"/>
              <w:jc w:val="right"/>
            </w:pPr>
            <w:r w:rsidRPr="00BC5284">
              <w:rPr>
                <w:sz w:val="14"/>
                <w:szCs w:val="14"/>
              </w:rPr>
              <w:t>843</w:t>
            </w:r>
          </w:p>
        </w:tc>
      </w:tr>
      <w:tr w:rsidR="00855241" w:rsidRPr="00BC5284" w14:paraId="01FDD06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3CC6E3" w14:textId="77777777" w:rsidR="00855241" w:rsidRPr="00BC5284" w:rsidRDefault="00855241">
            <w:pPr>
              <w:pStyle w:val="TableTextStocktake"/>
            </w:pPr>
            <w:r w:rsidRPr="00BC5284">
              <w:rPr>
                <w:sz w:val="14"/>
                <w:szCs w:val="14"/>
              </w:rPr>
              <w:t>Bayside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A69DDA"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026E31" w14:textId="77777777" w:rsidR="00855241" w:rsidRPr="00BC5284" w:rsidRDefault="00855241">
            <w:pPr>
              <w:pStyle w:val="TableTextStocktake"/>
              <w:jc w:val="right"/>
            </w:pPr>
            <w:r w:rsidRPr="00BC5284">
              <w:rPr>
                <w:sz w:val="14"/>
                <w:szCs w:val="14"/>
              </w:rPr>
              <w:t>37</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4A17E7" w14:textId="77777777" w:rsidR="00855241" w:rsidRPr="00BC5284" w:rsidRDefault="00855241">
            <w:pPr>
              <w:pStyle w:val="TableTextStocktake"/>
              <w:jc w:val="right"/>
            </w:pPr>
            <w:r w:rsidRPr="00BC5284">
              <w:rPr>
                <w:sz w:val="14"/>
                <w:szCs w:val="14"/>
              </w:rPr>
              <w:t>105,718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83EB68" w14:textId="77777777" w:rsidR="00855241" w:rsidRPr="00BC5284" w:rsidRDefault="00855241">
            <w:pPr>
              <w:pStyle w:val="TableTextStocktake"/>
              <w:jc w:val="right"/>
            </w:pPr>
            <w:r w:rsidRPr="00BC5284">
              <w:rPr>
                <w:sz w:val="14"/>
                <w:szCs w:val="14"/>
              </w:rPr>
              <w:t>20</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EAE399" w14:textId="77777777" w:rsidR="00855241" w:rsidRPr="00BC5284" w:rsidRDefault="00855241">
            <w:pPr>
              <w:pStyle w:val="TableTextStocktake"/>
              <w:jc w:val="right"/>
            </w:pPr>
            <w:r w:rsidRPr="00BC5284">
              <w:rPr>
                <w:sz w:val="14"/>
                <w:szCs w:val="14"/>
              </w:rPr>
              <w:t>571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2A5739" w14:textId="77777777" w:rsidR="00855241" w:rsidRPr="00BC5284" w:rsidRDefault="00855241">
            <w:pPr>
              <w:pStyle w:val="TableTextStocktake"/>
              <w:jc w:val="right"/>
            </w:pPr>
            <w:r w:rsidRPr="00BC5284">
              <w:rPr>
                <w:sz w:val="14"/>
                <w:szCs w:val="14"/>
              </w:rPr>
              <w:t>591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60FC40" w14:textId="77777777" w:rsidR="00855241" w:rsidRPr="00BC5284" w:rsidRDefault="00855241">
            <w:pPr>
              <w:pStyle w:val="TableTextStocktake"/>
              <w:jc w:val="right"/>
            </w:pPr>
            <w:r w:rsidRPr="00BC5284">
              <w:rPr>
                <w:sz w:val="14"/>
                <w:szCs w:val="14"/>
              </w:rPr>
              <w:t>28</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B9F539" w14:textId="77777777" w:rsidR="00855241" w:rsidRPr="00BC5284" w:rsidRDefault="00855241">
            <w:pPr>
              <w:pStyle w:val="TableTextStocktake"/>
              <w:jc w:val="right"/>
            </w:pPr>
            <w:r w:rsidRPr="00BC5284">
              <w:rPr>
                <w:sz w:val="14"/>
                <w:szCs w:val="14"/>
              </w:rPr>
              <w:t>619</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F015A9B" w14:textId="77777777" w:rsidR="00855241" w:rsidRPr="00BC5284" w:rsidRDefault="00855241">
            <w:pPr>
              <w:pStyle w:val="TableTextStocktake"/>
              <w:jc w:val="right"/>
            </w:pPr>
            <w:r w:rsidRPr="00BC5284">
              <w:rPr>
                <w:sz w:val="14"/>
                <w:szCs w:val="14"/>
              </w:rPr>
              <w:t>2,181</w:t>
            </w:r>
          </w:p>
        </w:tc>
      </w:tr>
      <w:tr w:rsidR="00855241" w:rsidRPr="00BC5284" w14:paraId="2B9DBA3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313FC3" w14:textId="77777777" w:rsidR="00855241" w:rsidRPr="00BC5284" w:rsidRDefault="00855241">
            <w:pPr>
              <w:pStyle w:val="TableTextStocktake"/>
            </w:pPr>
            <w:r w:rsidRPr="00BC5284">
              <w:rPr>
                <w:sz w:val="14"/>
                <w:szCs w:val="14"/>
              </w:rPr>
              <w:t>Benalla (RC)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67D9BB"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18CD1F" w14:textId="77777777" w:rsidR="00855241" w:rsidRPr="00BC5284" w:rsidRDefault="00855241">
            <w:pPr>
              <w:pStyle w:val="TableTextStocktake"/>
              <w:jc w:val="right"/>
            </w:pPr>
            <w:r w:rsidRPr="00BC5284">
              <w:rPr>
                <w:sz w:val="14"/>
                <w:szCs w:val="14"/>
              </w:rPr>
              <w:t>2,353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81DE1A" w14:textId="77777777" w:rsidR="00855241" w:rsidRPr="00BC5284" w:rsidRDefault="00855241">
            <w:pPr>
              <w:pStyle w:val="TableTextStocktake"/>
              <w:jc w:val="right"/>
            </w:pPr>
            <w:r w:rsidRPr="00BC5284">
              <w:rPr>
                <w:sz w:val="14"/>
                <w:szCs w:val="14"/>
              </w:rPr>
              <w:t>14,024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325BFE" w14:textId="77777777" w:rsidR="00855241" w:rsidRPr="00BC5284" w:rsidRDefault="00855241">
            <w:pPr>
              <w:pStyle w:val="TableTextStocktake"/>
              <w:jc w:val="right"/>
            </w:pPr>
            <w:r w:rsidRPr="00BC5284">
              <w:rPr>
                <w:sz w:val="14"/>
                <w:szCs w:val="14"/>
              </w:rPr>
              <w:t>16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0010DE" w14:textId="77777777" w:rsidR="00855241" w:rsidRPr="00BC5284" w:rsidRDefault="00855241">
            <w:pPr>
              <w:pStyle w:val="TableTextStocktake"/>
              <w:jc w:val="right"/>
            </w:pPr>
            <w:r w:rsidRPr="00BC5284">
              <w:rPr>
                <w:sz w:val="14"/>
                <w:szCs w:val="14"/>
              </w:rPr>
              <w:t>30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93D636" w14:textId="77777777" w:rsidR="00855241" w:rsidRPr="00BC5284" w:rsidRDefault="00855241">
            <w:pPr>
              <w:pStyle w:val="TableTextStocktake"/>
              <w:jc w:val="right"/>
            </w:pPr>
            <w:r w:rsidRPr="00BC5284">
              <w:rPr>
                <w:sz w:val="14"/>
                <w:szCs w:val="14"/>
              </w:rPr>
              <w:t>46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8DACFC" w14:textId="77777777" w:rsidR="00855241" w:rsidRPr="00BC5284" w:rsidRDefault="00855241">
            <w:pPr>
              <w:pStyle w:val="TableTextStocktake"/>
              <w:jc w:val="right"/>
            </w:pPr>
            <w:r w:rsidRPr="00BC5284">
              <w:rPr>
                <w:sz w:val="14"/>
                <w:szCs w:val="14"/>
              </w:rPr>
              <w:t>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321172" w14:textId="77777777" w:rsidR="00855241" w:rsidRPr="00BC5284" w:rsidRDefault="00855241">
            <w:pPr>
              <w:pStyle w:val="TableTextStocktake"/>
              <w:jc w:val="right"/>
            </w:pPr>
            <w:r w:rsidRPr="00BC5284">
              <w:rPr>
                <w:sz w:val="14"/>
                <w:szCs w:val="14"/>
              </w:rPr>
              <w:t>48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2D40A58" w14:textId="77777777" w:rsidR="00855241" w:rsidRPr="00BC5284" w:rsidRDefault="00855241">
            <w:pPr>
              <w:pStyle w:val="TableTextStocktake"/>
              <w:jc w:val="right"/>
            </w:pPr>
            <w:r w:rsidRPr="00BC5284">
              <w:rPr>
                <w:sz w:val="14"/>
                <w:szCs w:val="14"/>
              </w:rPr>
              <w:t>322</w:t>
            </w:r>
          </w:p>
        </w:tc>
      </w:tr>
      <w:tr w:rsidR="00855241" w:rsidRPr="00BC5284" w14:paraId="3B7601E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FCDD0A" w14:textId="77777777" w:rsidR="00855241" w:rsidRPr="00BC5284" w:rsidRDefault="00855241">
            <w:pPr>
              <w:pStyle w:val="TableTextStocktake"/>
            </w:pPr>
            <w:r w:rsidRPr="00BC5284">
              <w:rPr>
                <w:sz w:val="14"/>
                <w:szCs w:val="14"/>
              </w:rPr>
              <w:t>Boroondara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B8B068"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547593" w14:textId="77777777" w:rsidR="00855241" w:rsidRPr="00BC5284" w:rsidRDefault="00855241">
            <w:pPr>
              <w:pStyle w:val="TableTextStocktake"/>
              <w:jc w:val="right"/>
            </w:pPr>
            <w:r w:rsidRPr="00BC5284">
              <w:rPr>
                <w:sz w:val="14"/>
                <w:szCs w:val="14"/>
              </w:rPr>
              <w:t>60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2F628A" w14:textId="77777777" w:rsidR="00855241" w:rsidRPr="00BC5284" w:rsidRDefault="00855241">
            <w:pPr>
              <w:pStyle w:val="TableTextStocktake"/>
              <w:jc w:val="right"/>
            </w:pPr>
            <w:r w:rsidRPr="00BC5284">
              <w:rPr>
                <w:sz w:val="14"/>
                <w:szCs w:val="14"/>
              </w:rPr>
              <w:t>181,289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E435AE" w14:textId="77777777" w:rsidR="00855241" w:rsidRPr="00BC5284" w:rsidRDefault="00855241">
            <w:pPr>
              <w:pStyle w:val="TableTextStocktake"/>
              <w:jc w:val="right"/>
            </w:pPr>
            <w:r w:rsidRPr="00BC5284">
              <w:rPr>
                <w:sz w:val="14"/>
                <w:szCs w:val="14"/>
              </w:rPr>
              <w:t>66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EC1D45" w14:textId="77777777" w:rsidR="00855241" w:rsidRPr="00BC5284" w:rsidRDefault="00855241">
            <w:pPr>
              <w:pStyle w:val="TableTextStocktake"/>
              <w:jc w:val="right"/>
            </w:pPr>
            <w:r w:rsidRPr="00BC5284">
              <w:rPr>
                <w:sz w:val="14"/>
                <w:szCs w:val="14"/>
              </w:rPr>
              <w:t>455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2B975C" w14:textId="77777777" w:rsidR="00855241" w:rsidRPr="00BC5284" w:rsidRDefault="00855241">
            <w:pPr>
              <w:pStyle w:val="TableTextStocktake"/>
              <w:jc w:val="right"/>
            </w:pPr>
            <w:r w:rsidRPr="00BC5284">
              <w:rPr>
                <w:sz w:val="14"/>
                <w:szCs w:val="14"/>
              </w:rPr>
              <w:t>521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5AA692" w14:textId="77777777" w:rsidR="00855241" w:rsidRPr="00BC5284" w:rsidRDefault="00855241">
            <w:pPr>
              <w:pStyle w:val="TableTextStocktake"/>
              <w:jc w:val="right"/>
            </w:pPr>
            <w:r w:rsidRPr="00BC5284">
              <w:rPr>
                <w:sz w:val="14"/>
                <w:szCs w:val="14"/>
              </w:rPr>
              <w:t>73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B51C82" w14:textId="77777777" w:rsidR="00855241" w:rsidRPr="00BC5284" w:rsidRDefault="00855241">
            <w:pPr>
              <w:pStyle w:val="TableTextStocktake"/>
              <w:jc w:val="right"/>
            </w:pPr>
            <w:r w:rsidRPr="00BC5284">
              <w:rPr>
                <w:sz w:val="14"/>
                <w:szCs w:val="14"/>
              </w:rPr>
              <w:t>594</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A138F87" w14:textId="77777777" w:rsidR="00855241" w:rsidRPr="00BC5284" w:rsidRDefault="00855241">
            <w:pPr>
              <w:pStyle w:val="TableTextStocktake"/>
              <w:jc w:val="right"/>
            </w:pPr>
            <w:r w:rsidRPr="00BC5284">
              <w:rPr>
                <w:sz w:val="14"/>
                <w:szCs w:val="14"/>
              </w:rPr>
              <w:t>14,805</w:t>
            </w:r>
          </w:p>
        </w:tc>
      </w:tr>
      <w:tr w:rsidR="00855241" w:rsidRPr="00BC5284" w14:paraId="7B8833A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33451F" w14:textId="77777777" w:rsidR="00855241" w:rsidRPr="00BC5284" w:rsidRDefault="00855241">
            <w:pPr>
              <w:pStyle w:val="TableTextStocktake"/>
            </w:pPr>
            <w:r w:rsidRPr="00BC5284">
              <w:rPr>
                <w:sz w:val="14"/>
                <w:szCs w:val="14"/>
              </w:rPr>
              <w:t>Brimbank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EF8010"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10E2CB" w14:textId="77777777" w:rsidR="00855241" w:rsidRPr="00BC5284" w:rsidRDefault="00855241">
            <w:pPr>
              <w:pStyle w:val="TableTextStocktake"/>
              <w:jc w:val="right"/>
            </w:pPr>
            <w:r w:rsidRPr="00BC5284">
              <w:rPr>
                <w:sz w:val="14"/>
                <w:szCs w:val="14"/>
              </w:rPr>
              <w:t>123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D95EB0" w14:textId="77777777" w:rsidR="00855241" w:rsidRPr="00BC5284" w:rsidRDefault="00855241">
            <w:pPr>
              <w:pStyle w:val="TableTextStocktake"/>
              <w:jc w:val="right"/>
            </w:pPr>
            <w:r w:rsidRPr="00BC5284">
              <w:rPr>
                <w:sz w:val="14"/>
                <w:szCs w:val="14"/>
              </w:rPr>
              <w:t>208,714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1250B8" w14:textId="77777777" w:rsidR="00855241" w:rsidRPr="00BC5284" w:rsidRDefault="00855241">
            <w:pPr>
              <w:pStyle w:val="TableTextStocktake"/>
              <w:jc w:val="right"/>
            </w:pPr>
            <w:r w:rsidRPr="00BC5284">
              <w:rPr>
                <w:sz w:val="14"/>
                <w:szCs w:val="14"/>
              </w:rPr>
              <w:t>13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AF60F6" w14:textId="77777777" w:rsidR="00855241" w:rsidRPr="00BC5284" w:rsidRDefault="00855241">
            <w:pPr>
              <w:pStyle w:val="TableTextStocktake"/>
              <w:jc w:val="right"/>
            </w:pPr>
            <w:r w:rsidRPr="00BC5284">
              <w:rPr>
                <w:sz w:val="14"/>
                <w:szCs w:val="14"/>
              </w:rPr>
              <w:t>107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278718" w14:textId="77777777" w:rsidR="00855241" w:rsidRPr="00BC5284" w:rsidRDefault="00855241">
            <w:pPr>
              <w:pStyle w:val="TableTextStocktake"/>
              <w:jc w:val="right"/>
            </w:pPr>
            <w:r w:rsidRPr="00BC5284">
              <w:rPr>
                <w:sz w:val="14"/>
                <w:szCs w:val="14"/>
              </w:rPr>
              <w:t>120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7699BB" w14:textId="77777777" w:rsidR="00855241" w:rsidRPr="00BC5284" w:rsidRDefault="00855241">
            <w:pPr>
              <w:pStyle w:val="TableTextStocktake"/>
              <w:jc w:val="right"/>
            </w:pPr>
            <w:r w:rsidRPr="00BC5284">
              <w:rPr>
                <w:sz w:val="14"/>
                <w:szCs w:val="14"/>
              </w:rPr>
              <w:t>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F477FF" w14:textId="77777777" w:rsidR="00855241" w:rsidRPr="00BC5284" w:rsidRDefault="00855241">
            <w:pPr>
              <w:pStyle w:val="TableTextStocktake"/>
              <w:jc w:val="right"/>
            </w:pPr>
            <w:r w:rsidRPr="00BC5284">
              <w:rPr>
                <w:sz w:val="14"/>
                <w:szCs w:val="14"/>
              </w:rPr>
              <w:t>127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5AC3C0A" w14:textId="77777777" w:rsidR="00855241" w:rsidRPr="00BC5284" w:rsidRDefault="00855241">
            <w:pPr>
              <w:pStyle w:val="TableTextStocktake"/>
              <w:jc w:val="right"/>
            </w:pPr>
            <w:r w:rsidRPr="00BC5284">
              <w:rPr>
                <w:sz w:val="14"/>
                <w:szCs w:val="14"/>
              </w:rPr>
              <w:t>1,360</w:t>
            </w:r>
          </w:p>
        </w:tc>
      </w:tr>
      <w:tr w:rsidR="00855241" w:rsidRPr="00BC5284" w14:paraId="6A2ABE4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31AC30" w14:textId="77777777" w:rsidR="00855241" w:rsidRPr="00BC5284" w:rsidRDefault="00855241">
            <w:pPr>
              <w:pStyle w:val="TableTextStocktake"/>
            </w:pPr>
            <w:r w:rsidRPr="00BC5284">
              <w:rPr>
                <w:sz w:val="14"/>
                <w:szCs w:val="14"/>
              </w:rPr>
              <w:t>Buloke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A77B4B"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319529" w14:textId="77777777" w:rsidR="00855241" w:rsidRPr="00BC5284" w:rsidRDefault="00855241">
            <w:pPr>
              <w:pStyle w:val="TableTextStocktake"/>
              <w:jc w:val="right"/>
            </w:pPr>
            <w:r w:rsidRPr="00BC5284">
              <w:rPr>
                <w:sz w:val="14"/>
                <w:szCs w:val="14"/>
              </w:rPr>
              <w:t>8,000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34001D" w14:textId="77777777" w:rsidR="00855241" w:rsidRPr="00BC5284" w:rsidRDefault="00855241">
            <w:pPr>
              <w:pStyle w:val="TableTextStocktake"/>
              <w:jc w:val="right"/>
            </w:pPr>
            <w:r w:rsidRPr="00BC5284">
              <w:rPr>
                <w:sz w:val="14"/>
                <w:szCs w:val="14"/>
              </w:rPr>
              <w:t>6,184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F5378B" w14:textId="77777777" w:rsidR="00855241" w:rsidRPr="00BC5284" w:rsidRDefault="00855241">
            <w:pPr>
              <w:pStyle w:val="TableTextStocktake"/>
              <w:jc w:val="right"/>
            </w:pPr>
            <w:r w:rsidRPr="00BC5284">
              <w:rPr>
                <w:sz w:val="14"/>
                <w:szCs w:val="14"/>
              </w:rPr>
              <w:t>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60B5A0" w14:textId="77777777" w:rsidR="00855241" w:rsidRPr="00BC5284" w:rsidRDefault="00855241">
            <w:pPr>
              <w:pStyle w:val="TableTextStocktake"/>
              <w:jc w:val="right"/>
            </w:pPr>
            <w:r w:rsidRPr="00BC5284">
              <w:rPr>
                <w:sz w:val="14"/>
                <w:szCs w:val="14"/>
              </w:rPr>
              <w:t>217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2484B4" w14:textId="77777777" w:rsidR="00855241" w:rsidRPr="00BC5284" w:rsidRDefault="00855241">
            <w:pPr>
              <w:pStyle w:val="TableTextStocktake"/>
              <w:jc w:val="right"/>
            </w:pPr>
            <w:r w:rsidRPr="00BC5284">
              <w:rPr>
                <w:sz w:val="14"/>
                <w:szCs w:val="14"/>
              </w:rPr>
              <w:t>220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03D578" w14:textId="77777777" w:rsidR="00855241" w:rsidRPr="00BC5284" w:rsidRDefault="00855241">
            <w:pPr>
              <w:pStyle w:val="TableTextStocktake"/>
              <w:jc w:val="right"/>
            </w:pPr>
            <w:r w:rsidRPr="00BC5284">
              <w:rPr>
                <w:sz w:val="14"/>
                <w:szCs w:val="14"/>
              </w:rPr>
              <w:t>10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211B89" w14:textId="77777777" w:rsidR="00855241" w:rsidRPr="00BC5284" w:rsidRDefault="00855241">
            <w:pPr>
              <w:pStyle w:val="TableTextStocktake"/>
              <w:jc w:val="right"/>
            </w:pPr>
            <w:r w:rsidRPr="00BC5284">
              <w:rPr>
                <w:sz w:val="14"/>
                <w:szCs w:val="14"/>
              </w:rPr>
              <w:t>230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B2A206D" w14:textId="77777777" w:rsidR="00855241" w:rsidRPr="00BC5284" w:rsidRDefault="00855241">
            <w:pPr>
              <w:pStyle w:val="TableTextStocktake"/>
              <w:jc w:val="right"/>
            </w:pPr>
            <w:r w:rsidRPr="00BC5284">
              <w:rPr>
                <w:sz w:val="14"/>
                <w:szCs w:val="14"/>
              </w:rPr>
              <w:t>774</w:t>
            </w:r>
          </w:p>
        </w:tc>
      </w:tr>
      <w:tr w:rsidR="00855241" w:rsidRPr="00BC5284" w14:paraId="21C620E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D28AFB" w14:textId="77777777" w:rsidR="00855241" w:rsidRPr="00BC5284" w:rsidRDefault="00855241">
            <w:pPr>
              <w:pStyle w:val="TableTextStocktake"/>
            </w:pPr>
            <w:r w:rsidRPr="00BC5284">
              <w:rPr>
                <w:sz w:val="14"/>
                <w:szCs w:val="14"/>
              </w:rPr>
              <w:t>Campaspe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2A62DA"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1F0A5B" w14:textId="77777777" w:rsidR="00855241" w:rsidRPr="00BC5284" w:rsidRDefault="00855241">
            <w:pPr>
              <w:pStyle w:val="TableTextStocktake"/>
              <w:jc w:val="right"/>
            </w:pPr>
            <w:r w:rsidRPr="00BC5284">
              <w:rPr>
                <w:sz w:val="14"/>
                <w:szCs w:val="14"/>
              </w:rPr>
              <w:t>4,519</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DD11A3" w14:textId="77777777" w:rsidR="00855241" w:rsidRPr="00BC5284" w:rsidRDefault="00855241">
            <w:pPr>
              <w:pStyle w:val="TableTextStocktake"/>
              <w:jc w:val="right"/>
            </w:pPr>
            <w:r w:rsidRPr="00BC5284">
              <w:rPr>
                <w:sz w:val="14"/>
                <w:szCs w:val="14"/>
              </w:rPr>
              <w:t>37,592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FA661E" w14:textId="77777777" w:rsidR="00855241" w:rsidRPr="00BC5284" w:rsidRDefault="00855241">
            <w:pPr>
              <w:pStyle w:val="TableTextStocktake"/>
              <w:jc w:val="right"/>
            </w:pPr>
            <w:r w:rsidRPr="00BC5284">
              <w:rPr>
                <w:sz w:val="14"/>
                <w:szCs w:val="14"/>
              </w:rPr>
              <w:t>27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2C66D0" w14:textId="77777777" w:rsidR="00855241" w:rsidRPr="00BC5284" w:rsidRDefault="00855241">
            <w:pPr>
              <w:pStyle w:val="TableTextStocktake"/>
              <w:jc w:val="right"/>
            </w:pPr>
            <w:r w:rsidRPr="00BC5284">
              <w:rPr>
                <w:sz w:val="14"/>
                <w:szCs w:val="14"/>
              </w:rPr>
              <w:t>186</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711234" w14:textId="77777777" w:rsidR="00855241" w:rsidRPr="00BC5284" w:rsidRDefault="00855241">
            <w:pPr>
              <w:pStyle w:val="TableTextStocktake"/>
              <w:jc w:val="right"/>
            </w:pPr>
            <w:r w:rsidRPr="00BC5284">
              <w:rPr>
                <w:sz w:val="14"/>
                <w:szCs w:val="14"/>
              </w:rPr>
              <w:t>213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D42A29"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A62357E" w14:textId="77777777" w:rsidR="00855241" w:rsidRPr="00BC5284" w:rsidRDefault="00855241">
            <w:pPr>
              <w:pStyle w:val="TableTextStocktake"/>
              <w:jc w:val="right"/>
            </w:pPr>
            <w:r w:rsidRPr="00BC5284">
              <w:rPr>
                <w:sz w:val="14"/>
                <w:szCs w:val="14"/>
              </w:rPr>
              <w:t>225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4AB115E" w14:textId="77777777" w:rsidR="00855241" w:rsidRPr="00BC5284" w:rsidRDefault="00855241">
            <w:pPr>
              <w:pStyle w:val="TableTextStocktake"/>
              <w:jc w:val="right"/>
            </w:pPr>
            <w:r w:rsidRPr="00BC5284">
              <w:rPr>
                <w:sz w:val="14"/>
                <w:szCs w:val="14"/>
              </w:rPr>
              <w:t>1,214</w:t>
            </w:r>
          </w:p>
        </w:tc>
      </w:tr>
      <w:tr w:rsidR="00855241" w:rsidRPr="00BC5284" w14:paraId="06653F2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E860DB" w14:textId="77777777" w:rsidR="00855241" w:rsidRPr="00BC5284" w:rsidRDefault="00855241">
            <w:pPr>
              <w:pStyle w:val="TableTextStocktake"/>
            </w:pPr>
            <w:r w:rsidRPr="00BC5284">
              <w:rPr>
                <w:sz w:val="14"/>
                <w:szCs w:val="14"/>
              </w:rPr>
              <w:t>Cardinia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D89AD6"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B8BF16" w14:textId="77777777" w:rsidR="00855241" w:rsidRPr="00BC5284" w:rsidRDefault="00855241">
            <w:pPr>
              <w:pStyle w:val="TableTextStocktake"/>
              <w:jc w:val="right"/>
            </w:pPr>
            <w:r w:rsidRPr="00BC5284">
              <w:rPr>
                <w:sz w:val="14"/>
                <w:szCs w:val="14"/>
              </w:rPr>
              <w:t>1,283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878370" w14:textId="77777777" w:rsidR="00855241" w:rsidRPr="00BC5284" w:rsidRDefault="00855241">
            <w:pPr>
              <w:pStyle w:val="TableTextStocktake"/>
              <w:jc w:val="right"/>
            </w:pPr>
            <w:r w:rsidRPr="00BC5284">
              <w:rPr>
                <w:sz w:val="14"/>
                <w:szCs w:val="14"/>
              </w:rPr>
              <w:t>107,120</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CA2E5D"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6174FD" w14:textId="77777777" w:rsidR="00855241" w:rsidRPr="00BC5284" w:rsidRDefault="00855241">
            <w:pPr>
              <w:pStyle w:val="TableTextStocktake"/>
              <w:jc w:val="right"/>
            </w:pPr>
            <w:r w:rsidRPr="00BC5284">
              <w:rPr>
                <w:sz w:val="14"/>
                <w:szCs w:val="14"/>
              </w:rPr>
              <w:t>235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D1C12A" w14:textId="77777777" w:rsidR="00855241" w:rsidRPr="00BC5284" w:rsidRDefault="00855241">
            <w:pPr>
              <w:pStyle w:val="TableTextStocktake"/>
              <w:jc w:val="right"/>
            </w:pPr>
            <w:r w:rsidRPr="00BC5284">
              <w:rPr>
                <w:sz w:val="14"/>
                <w:szCs w:val="14"/>
              </w:rPr>
              <w:t>242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EC2505" w14:textId="77777777" w:rsidR="00855241" w:rsidRPr="00BC5284" w:rsidRDefault="00855241">
            <w:pPr>
              <w:pStyle w:val="TableTextStocktake"/>
              <w:jc w:val="right"/>
            </w:pPr>
            <w:r w:rsidRPr="00BC5284">
              <w:rPr>
                <w:sz w:val="14"/>
                <w:szCs w:val="14"/>
              </w:rPr>
              <w:t>18</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553CEE" w14:textId="77777777" w:rsidR="00855241" w:rsidRPr="00BC5284" w:rsidRDefault="00855241">
            <w:pPr>
              <w:pStyle w:val="TableTextStocktake"/>
              <w:jc w:val="right"/>
            </w:pPr>
            <w:r w:rsidRPr="00BC5284">
              <w:rPr>
                <w:sz w:val="14"/>
                <w:szCs w:val="14"/>
              </w:rPr>
              <w:t>260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C0F6A13" w14:textId="77777777" w:rsidR="00855241" w:rsidRPr="00BC5284" w:rsidRDefault="00855241">
            <w:pPr>
              <w:pStyle w:val="TableTextStocktake"/>
              <w:jc w:val="right"/>
            </w:pPr>
            <w:r w:rsidRPr="00BC5284">
              <w:rPr>
                <w:sz w:val="14"/>
                <w:szCs w:val="14"/>
              </w:rPr>
              <w:t>809</w:t>
            </w:r>
          </w:p>
        </w:tc>
      </w:tr>
      <w:tr w:rsidR="00855241" w:rsidRPr="00BC5284" w14:paraId="768A31B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34BCB7" w14:textId="77777777" w:rsidR="00855241" w:rsidRPr="00BC5284" w:rsidRDefault="00855241">
            <w:pPr>
              <w:pStyle w:val="TableTextStocktake"/>
            </w:pPr>
            <w:r w:rsidRPr="00BC5284">
              <w:rPr>
                <w:sz w:val="14"/>
                <w:szCs w:val="14"/>
              </w:rPr>
              <w:t>Casey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38BADC"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653F7F" w14:textId="77777777" w:rsidR="00855241" w:rsidRPr="00BC5284" w:rsidRDefault="00855241">
            <w:pPr>
              <w:pStyle w:val="TableTextStocktake"/>
              <w:jc w:val="right"/>
            </w:pPr>
            <w:r w:rsidRPr="00BC5284">
              <w:rPr>
                <w:sz w:val="14"/>
                <w:szCs w:val="14"/>
              </w:rPr>
              <w:t>409</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41C01B" w14:textId="77777777" w:rsidR="00855241" w:rsidRPr="00BC5284" w:rsidRDefault="00855241">
            <w:pPr>
              <w:pStyle w:val="TableTextStocktake"/>
              <w:jc w:val="right"/>
            </w:pPr>
            <w:r w:rsidRPr="00BC5284">
              <w:rPr>
                <w:sz w:val="14"/>
                <w:szCs w:val="14"/>
              </w:rPr>
              <w:t>340,419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73BBE8" w14:textId="77777777" w:rsidR="00855241" w:rsidRPr="00BC5284" w:rsidRDefault="00855241">
            <w:pPr>
              <w:pStyle w:val="TableTextStocktake"/>
              <w:jc w:val="right"/>
            </w:pPr>
            <w:r w:rsidRPr="00BC5284">
              <w:rPr>
                <w:sz w:val="14"/>
                <w:szCs w:val="14"/>
              </w:rPr>
              <w:t>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FC5C91" w14:textId="77777777" w:rsidR="00855241" w:rsidRPr="00BC5284" w:rsidRDefault="00855241">
            <w:pPr>
              <w:pStyle w:val="TableTextStocktake"/>
              <w:jc w:val="right"/>
            </w:pPr>
            <w:r w:rsidRPr="00BC5284">
              <w:rPr>
                <w:sz w:val="14"/>
                <w:szCs w:val="14"/>
              </w:rPr>
              <w:t>181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7803BD" w14:textId="77777777" w:rsidR="00855241" w:rsidRPr="00BC5284" w:rsidRDefault="00855241">
            <w:pPr>
              <w:pStyle w:val="TableTextStocktake"/>
              <w:jc w:val="right"/>
            </w:pPr>
            <w:r w:rsidRPr="00BC5284">
              <w:rPr>
                <w:sz w:val="14"/>
                <w:szCs w:val="14"/>
              </w:rPr>
              <w:t>184</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344B11" w14:textId="77777777" w:rsidR="00855241" w:rsidRPr="00BC5284" w:rsidRDefault="00855241">
            <w:pPr>
              <w:pStyle w:val="TableTextStocktake"/>
              <w:jc w:val="right"/>
            </w:pPr>
            <w:r w:rsidRPr="00BC5284">
              <w:rPr>
                <w:sz w:val="14"/>
                <w:szCs w:val="14"/>
              </w:rPr>
              <w:t>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30AA1B" w14:textId="77777777" w:rsidR="00855241" w:rsidRPr="00BC5284" w:rsidRDefault="00855241">
            <w:pPr>
              <w:pStyle w:val="TableTextStocktake"/>
              <w:jc w:val="right"/>
            </w:pPr>
            <w:r w:rsidRPr="00BC5284">
              <w:rPr>
                <w:sz w:val="14"/>
                <w:szCs w:val="14"/>
              </w:rPr>
              <w:t>187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9FAD356" w14:textId="77777777" w:rsidR="00855241" w:rsidRPr="00BC5284" w:rsidRDefault="00855241">
            <w:pPr>
              <w:pStyle w:val="TableTextStocktake"/>
              <w:jc w:val="right"/>
            </w:pPr>
            <w:r w:rsidRPr="00BC5284">
              <w:rPr>
                <w:sz w:val="14"/>
                <w:szCs w:val="14"/>
              </w:rPr>
              <w:t>513</w:t>
            </w:r>
          </w:p>
        </w:tc>
      </w:tr>
      <w:tr w:rsidR="00855241" w:rsidRPr="00BC5284" w14:paraId="375BAD2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A2A236" w14:textId="77777777" w:rsidR="00855241" w:rsidRPr="00BC5284" w:rsidRDefault="00855241">
            <w:pPr>
              <w:pStyle w:val="TableTextStocktake"/>
            </w:pPr>
            <w:r w:rsidRPr="00BC5284">
              <w:rPr>
                <w:sz w:val="14"/>
                <w:szCs w:val="14"/>
              </w:rPr>
              <w:t>Central Goldfields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35ABFD"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13CF7F" w14:textId="77777777" w:rsidR="00855241" w:rsidRPr="00BC5284" w:rsidRDefault="00855241">
            <w:pPr>
              <w:pStyle w:val="TableTextStocktake"/>
              <w:jc w:val="right"/>
            </w:pPr>
            <w:r w:rsidRPr="00BC5284">
              <w:rPr>
                <w:sz w:val="14"/>
                <w:szCs w:val="14"/>
              </w:rPr>
              <w:t>1,533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0BF2A9" w14:textId="77777777" w:rsidR="00855241" w:rsidRPr="00BC5284" w:rsidRDefault="00855241">
            <w:pPr>
              <w:pStyle w:val="TableTextStocktake"/>
              <w:jc w:val="right"/>
            </w:pPr>
            <w:r w:rsidRPr="00BC5284">
              <w:rPr>
                <w:sz w:val="14"/>
                <w:szCs w:val="14"/>
              </w:rPr>
              <w:t>13,209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6907BA" w14:textId="77777777" w:rsidR="00855241" w:rsidRPr="00BC5284" w:rsidRDefault="00855241">
            <w:pPr>
              <w:pStyle w:val="TableTextStocktake"/>
              <w:jc w:val="right"/>
            </w:pPr>
            <w:r w:rsidRPr="00BC5284">
              <w:rPr>
                <w:sz w:val="14"/>
                <w:szCs w:val="14"/>
              </w:rPr>
              <w:t>24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5A253D" w14:textId="77777777" w:rsidR="00855241" w:rsidRPr="00BC5284" w:rsidRDefault="00855241">
            <w:pPr>
              <w:pStyle w:val="TableTextStocktake"/>
              <w:jc w:val="right"/>
            </w:pPr>
            <w:r w:rsidRPr="00BC5284">
              <w:rPr>
                <w:sz w:val="14"/>
                <w:szCs w:val="14"/>
              </w:rPr>
              <w:t>83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53779E" w14:textId="77777777" w:rsidR="00855241" w:rsidRPr="00BC5284" w:rsidRDefault="00855241">
            <w:pPr>
              <w:pStyle w:val="TableTextStocktake"/>
              <w:jc w:val="right"/>
            </w:pPr>
            <w:r w:rsidRPr="00BC5284">
              <w:rPr>
                <w:sz w:val="14"/>
                <w:szCs w:val="14"/>
              </w:rPr>
              <w:t>107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20B5CD"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EB454D" w14:textId="77777777" w:rsidR="00855241" w:rsidRPr="00BC5284" w:rsidRDefault="00855241">
            <w:pPr>
              <w:pStyle w:val="TableTextStocktake"/>
              <w:jc w:val="right"/>
            </w:pPr>
            <w:r w:rsidRPr="00BC5284">
              <w:rPr>
                <w:sz w:val="14"/>
                <w:szCs w:val="14"/>
              </w:rPr>
              <w:t>108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1CE6DEC" w14:textId="77777777" w:rsidR="00855241" w:rsidRPr="00BC5284" w:rsidRDefault="00855241">
            <w:pPr>
              <w:pStyle w:val="TableTextStocktake"/>
              <w:jc w:val="right"/>
            </w:pPr>
            <w:r w:rsidRPr="00BC5284">
              <w:rPr>
                <w:sz w:val="14"/>
                <w:szCs w:val="14"/>
              </w:rPr>
              <w:t>2,655</w:t>
            </w:r>
          </w:p>
        </w:tc>
      </w:tr>
      <w:tr w:rsidR="00855241" w:rsidRPr="00BC5284" w14:paraId="1606498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0DC63F" w14:textId="77777777" w:rsidR="00855241" w:rsidRPr="00BC5284" w:rsidRDefault="00855241">
            <w:pPr>
              <w:pStyle w:val="TableTextStocktake"/>
            </w:pPr>
            <w:r w:rsidRPr="00BC5284">
              <w:rPr>
                <w:sz w:val="14"/>
                <w:szCs w:val="14"/>
              </w:rPr>
              <w:t>Colac Otway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7B3102"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13F690" w14:textId="77777777" w:rsidR="00855241" w:rsidRPr="00BC5284" w:rsidRDefault="00855241">
            <w:pPr>
              <w:pStyle w:val="TableTextStocktake"/>
              <w:jc w:val="right"/>
            </w:pPr>
            <w:r w:rsidRPr="00BC5284">
              <w:rPr>
                <w:sz w:val="14"/>
                <w:szCs w:val="14"/>
              </w:rPr>
              <w:t>3,438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E6CE2D" w14:textId="77777777" w:rsidR="00855241" w:rsidRPr="00BC5284" w:rsidRDefault="00855241">
            <w:pPr>
              <w:pStyle w:val="TableTextStocktake"/>
              <w:jc w:val="right"/>
            </w:pPr>
            <w:r w:rsidRPr="00BC5284">
              <w:rPr>
                <w:sz w:val="14"/>
                <w:szCs w:val="14"/>
              </w:rPr>
              <w:t>21,503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806259" w14:textId="77777777" w:rsidR="00855241" w:rsidRPr="00BC5284" w:rsidRDefault="00855241">
            <w:pPr>
              <w:pStyle w:val="TableTextStocktake"/>
              <w:jc w:val="right"/>
            </w:pPr>
            <w:r w:rsidRPr="00BC5284">
              <w:rPr>
                <w:sz w:val="14"/>
                <w:szCs w:val="14"/>
              </w:rPr>
              <w:t>11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49CD8B" w14:textId="77777777" w:rsidR="00855241" w:rsidRPr="00BC5284" w:rsidRDefault="00855241">
            <w:pPr>
              <w:pStyle w:val="TableTextStocktake"/>
              <w:jc w:val="right"/>
            </w:pPr>
            <w:r w:rsidRPr="00BC5284">
              <w:rPr>
                <w:sz w:val="14"/>
                <w:szCs w:val="14"/>
              </w:rPr>
              <w:t>222</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5F25D6" w14:textId="77777777" w:rsidR="00855241" w:rsidRPr="00BC5284" w:rsidRDefault="00855241">
            <w:pPr>
              <w:pStyle w:val="TableTextStocktake"/>
              <w:jc w:val="right"/>
            </w:pPr>
            <w:r w:rsidRPr="00BC5284">
              <w:rPr>
                <w:sz w:val="14"/>
                <w:szCs w:val="14"/>
              </w:rPr>
              <w:t>233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3B6281"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3EA796" w14:textId="77777777" w:rsidR="00855241" w:rsidRPr="00BC5284" w:rsidRDefault="00855241">
            <w:pPr>
              <w:pStyle w:val="TableTextStocktake"/>
              <w:jc w:val="right"/>
            </w:pPr>
            <w:r w:rsidRPr="00BC5284">
              <w:rPr>
                <w:sz w:val="14"/>
                <w:szCs w:val="14"/>
              </w:rPr>
              <w:t>245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6AFEC3A" w14:textId="77777777" w:rsidR="00855241" w:rsidRPr="00BC5284" w:rsidRDefault="00855241">
            <w:pPr>
              <w:pStyle w:val="TableTextStocktake"/>
              <w:jc w:val="right"/>
            </w:pPr>
            <w:r w:rsidRPr="00BC5284">
              <w:rPr>
                <w:sz w:val="14"/>
                <w:szCs w:val="14"/>
              </w:rPr>
              <w:t>914</w:t>
            </w:r>
          </w:p>
        </w:tc>
      </w:tr>
      <w:tr w:rsidR="00855241" w:rsidRPr="00BC5284" w14:paraId="0DAE2C7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3FC5CB" w14:textId="77777777" w:rsidR="00855241" w:rsidRPr="00BC5284" w:rsidRDefault="00855241">
            <w:pPr>
              <w:pStyle w:val="TableTextStocktake"/>
            </w:pPr>
            <w:r w:rsidRPr="00BC5284">
              <w:rPr>
                <w:sz w:val="14"/>
                <w:szCs w:val="14"/>
              </w:rPr>
              <w:t>Corangamite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93B8FD"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2C9D3F" w14:textId="77777777" w:rsidR="00855241" w:rsidRPr="00BC5284" w:rsidRDefault="00855241">
            <w:pPr>
              <w:pStyle w:val="TableTextStocktake"/>
              <w:jc w:val="right"/>
            </w:pPr>
            <w:r w:rsidRPr="00BC5284">
              <w:rPr>
                <w:sz w:val="14"/>
                <w:szCs w:val="14"/>
              </w:rPr>
              <w:t>4,408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9963D6" w14:textId="77777777" w:rsidR="00855241" w:rsidRPr="00BC5284" w:rsidRDefault="00855241">
            <w:pPr>
              <w:pStyle w:val="TableTextStocktake"/>
              <w:jc w:val="right"/>
            </w:pPr>
            <w:r w:rsidRPr="00BC5284">
              <w:rPr>
                <w:sz w:val="14"/>
                <w:szCs w:val="14"/>
              </w:rPr>
              <w:t>16,140</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97DC97" w14:textId="77777777" w:rsidR="00855241" w:rsidRPr="00BC5284" w:rsidRDefault="00855241">
            <w:pPr>
              <w:pStyle w:val="TableTextStocktake"/>
              <w:jc w:val="right"/>
            </w:pPr>
            <w:r w:rsidRPr="00BC5284">
              <w:rPr>
                <w:sz w:val="14"/>
                <w:szCs w:val="14"/>
              </w:rPr>
              <w:t>25</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F64A26" w14:textId="77777777" w:rsidR="00855241" w:rsidRPr="00BC5284" w:rsidRDefault="00855241">
            <w:pPr>
              <w:pStyle w:val="TableTextStocktake"/>
              <w:jc w:val="right"/>
            </w:pPr>
            <w:r w:rsidRPr="00BC5284">
              <w:rPr>
                <w:sz w:val="14"/>
                <w:szCs w:val="14"/>
              </w:rPr>
              <w:t>229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875D9B" w14:textId="77777777" w:rsidR="00855241" w:rsidRPr="00BC5284" w:rsidRDefault="00855241">
            <w:pPr>
              <w:pStyle w:val="TableTextStocktake"/>
              <w:jc w:val="right"/>
            </w:pPr>
            <w:r w:rsidRPr="00BC5284">
              <w:rPr>
                <w:sz w:val="14"/>
                <w:szCs w:val="14"/>
              </w:rPr>
              <w:t>254</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1F004A"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5AEFD3" w14:textId="77777777" w:rsidR="00855241" w:rsidRPr="00BC5284" w:rsidRDefault="00855241">
            <w:pPr>
              <w:pStyle w:val="TableTextStocktake"/>
              <w:jc w:val="right"/>
            </w:pPr>
            <w:r w:rsidRPr="00BC5284">
              <w:rPr>
                <w:sz w:val="14"/>
                <w:szCs w:val="14"/>
              </w:rPr>
              <w:t>266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0AF3C6E" w14:textId="77777777" w:rsidR="00855241" w:rsidRPr="00BC5284" w:rsidRDefault="00855241">
            <w:pPr>
              <w:pStyle w:val="TableTextStocktake"/>
              <w:jc w:val="right"/>
            </w:pPr>
            <w:r w:rsidRPr="00BC5284">
              <w:rPr>
                <w:sz w:val="14"/>
                <w:szCs w:val="14"/>
              </w:rPr>
              <w:t>725</w:t>
            </w:r>
          </w:p>
        </w:tc>
      </w:tr>
      <w:tr w:rsidR="00855241" w:rsidRPr="00BC5284" w14:paraId="5FFB613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EBB4DA" w14:textId="77777777" w:rsidR="00855241" w:rsidRPr="00BC5284" w:rsidRDefault="00855241">
            <w:pPr>
              <w:pStyle w:val="TableTextStocktake"/>
            </w:pPr>
            <w:r w:rsidRPr="00BC5284">
              <w:rPr>
                <w:sz w:val="14"/>
                <w:szCs w:val="14"/>
              </w:rPr>
              <w:t>Darebin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860C2E"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8DF349" w14:textId="77777777" w:rsidR="00855241" w:rsidRPr="00BC5284" w:rsidRDefault="00855241">
            <w:pPr>
              <w:pStyle w:val="TableTextStocktake"/>
              <w:jc w:val="right"/>
            </w:pPr>
            <w:r w:rsidRPr="00BC5284">
              <w:rPr>
                <w:sz w:val="14"/>
                <w:szCs w:val="14"/>
              </w:rPr>
              <w:t>54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BB28A9" w14:textId="77777777" w:rsidR="00855241" w:rsidRPr="00BC5284" w:rsidRDefault="00855241">
            <w:pPr>
              <w:pStyle w:val="TableTextStocktake"/>
              <w:jc w:val="right"/>
            </w:pPr>
            <w:r w:rsidRPr="00BC5284">
              <w:rPr>
                <w:sz w:val="14"/>
                <w:szCs w:val="14"/>
              </w:rPr>
              <w:t>161,609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13BFE0"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B4BE1A" w14:textId="77777777" w:rsidR="00855241" w:rsidRPr="00BC5284" w:rsidRDefault="00855241">
            <w:pPr>
              <w:pStyle w:val="TableTextStocktake"/>
              <w:jc w:val="right"/>
            </w:pPr>
            <w:r w:rsidRPr="00BC5284">
              <w:rPr>
                <w:sz w:val="14"/>
                <w:szCs w:val="14"/>
              </w:rPr>
              <w:t>245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EDE176" w14:textId="77777777" w:rsidR="00855241" w:rsidRPr="00BC5284" w:rsidRDefault="00855241">
            <w:pPr>
              <w:pStyle w:val="TableTextStocktake"/>
              <w:jc w:val="right"/>
            </w:pPr>
            <w:r w:rsidRPr="00BC5284">
              <w:rPr>
                <w:sz w:val="14"/>
                <w:szCs w:val="14"/>
              </w:rPr>
              <w:t>252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EF22A4" w14:textId="77777777" w:rsidR="00855241" w:rsidRPr="00BC5284" w:rsidRDefault="00855241">
            <w:pPr>
              <w:pStyle w:val="TableTextStocktake"/>
              <w:jc w:val="right"/>
            </w:pPr>
            <w:r w:rsidRPr="00BC5284">
              <w:rPr>
                <w:sz w:val="14"/>
                <w:szCs w:val="14"/>
              </w:rPr>
              <w:t>47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10BEF4" w14:textId="77777777" w:rsidR="00855241" w:rsidRPr="00BC5284" w:rsidRDefault="00855241">
            <w:pPr>
              <w:pStyle w:val="TableTextStocktake"/>
              <w:jc w:val="right"/>
            </w:pPr>
            <w:r w:rsidRPr="00BC5284">
              <w:rPr>
                <w:sz w:val="14"/>
                <w:szCs w:val="14"/>
              </w:rPr>
              <w:t>299</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07A5428" w14:textId="77777777" w:rsidR="00855241" w:rsidRPr="00BC5284" w:rsidRDefault="00855241">
            <w:pPr>
              <w:pStyle w:val="TableTextStocktake"/>
              <w:jc w:val="right"/>
            </w:pPr>
            <w:r w:rsidRPr="00BC5284">
              <w:rPr>
                <w:sz w:val="14"/>
                <w:szCs w:val="14"/>
              </w:rPr>
              <w:t>5,303</w:t>
            </w:r>
          </w:p>
        </w:tc>
      </w:tr>
      <w:tr w:rsidR="00855241" w:rsidRPr="00BC5284" w14:paraId="4BDC2BB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CE51C7" w14:textId="77777777" w:rsidR="00855241" w:rsidRPr="00BC5284" w:rsidRDefault="00855241">
            <w:pPr>
              <w:pStyle w:val="TableTextStocktake"/>
            </w:pPr>
            <w:r w:rsidRPr="00BC5284">
              <w:rPr>
                <w:sz w:val="14"/>
                <w:szCs w:val="14"/>
              </w:rPr>
              <w:t>East Gippsland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24195C"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ED9EA4" w14:textId="77777777" w:rsidR="00855241" w:rsidRPr="00BC5284" w:rsidRDefault="00855241">
            <w:pPr>
              <w:pStyle w:val="TableTextStocktake"/>
              <w:jc w:val="right"/>
            </w:pPr>
            <w:r w:rsidRPr="00BC5284">
              <w:rPr>
                <w:sz w:val="14"/>
                <w:szCs w:val="14"/>
              </w:rPr>
              <w:t>20,940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EBA03D" w14:textId="77777777" w:rsidR="00855241" w:rsidRPr="00BC5284" w:rsidRDefault="00855241">
            <w:pPr>
              <w:pStyle w:val="TableTextStocktake"/>
              <w:jc w:val="right"/>
            </w:pPr>
            <w:r w:rsidRPr="00BC5284">
              <w:rPr>
                <w:sz w:val="14"/>
                <w:szCs w:val="14"/>
              </w:rPr>
              <w:t>46,818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6F39E1" w14:textId="77777777" w:rsidR="00855241" w:rsidRPr="00BC5284" w:rsidRDefault="00855241">
            <w:pPr>
              <w:pStyle w:val="TableTextStocktake"/>
              <w:jc w:val="right"/>
            </w:pPr>
            <w:r w:rsidRPr="00BC5284">
              <w:rPr>
                <w:sz w:val="14"/>
                <w:szCs w:val="14"/>
              </w:rPr>
              <w:t>32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0C1E91" w14:textId="77777777" w:rsidR="00855241" w:rsidRPr="00BC5284" w:rsidRDefault="00855241">
            <w:pPr>
              <w:pStyle w:val="TableTextStocktake"/>
              <w:jc w:val="right"/>
            </w:pPr>
            <w:r w:rsidRPr="00BC5284">
              <w:rPr>
                <w:sz w:val="14"/>
                <w:szCs w:val="14"/>
              </w:rPr>
              <w:t>249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FD727F" w14:textId="77777777" w:rsidR="00855241" w:rsidRPr="00BC5284" w:rsidRDefault="00855241">
            <w:pPr>
              <w:pStyle w:val="TableTextStocktake"/>
              <w:jc w:val="right"/>
            </w:pPr>
            <w:r w:rsidRPr="00BC5284">
              <w:rPr>
                <w:sz w:val="14"/>
                <w:szCs w:val="14"/>
              </w:rPr>
              <w:t>281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1E5976"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5AF037" w14:textId="77777777" w:rsidR="00855241" w:rsidRPr="00BC5284" w:rsidRDefault="00855241">
            <w:pPr>
              <w:pStyle w:val="TableTextStocktake"/>
              <w:jc w:val="right"/>
            </w:pPr>
            <w:r w:rsidRPr="00BC5284">
              <w:rPr>
                <w:sz w:val="14"/>
                <w:szCs w:val="14"/>
              </w:rPr>
              <w:t>282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BBE3AA1" w14:textId="77777777" w:rsidR="00855241" w:rsidRPr="00BC5284" w:rsidRDefault="00855241">
            <w:pPr>
              <w:pStyle w:val="TableTextStocktake"/>
              <w:jc w:val="right"/>
            </w:pPr>
            <w:r w:rsidRPr="00BC5284">
              <w:rPr>
                <w:sz w:val="14"/>
                <w:szCs w:val="14"/>
              </w:rPr>
              <w:t>480</w:t>
            </w:r>
          </w:p>
        </w:tc>
      </w:tr>
      <w:tr w:rsidR="00855241" w:rsidRPr="00BC5284" w14:paraId="6F22D02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862E26" w14:textId="77777777" w:rsidR="00855241" w:rsidRPr="00BC5284" w:rsidRDefault="00855241">
            <w:pPr>
              <w:pStyle w:val="TableTextStocktake"/>
            </w:pPr>
            <w:r w:rsidRPr="00BC5284">
              <w:rPr>
                <w:sz w:val="14"/>
                <w:szCs w:val="14"/>
              </w:rPr>
              <w:t>Frankston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A54EC2"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CB31FC" w14:textId="77777777" w:rsidR="00855241" w:rsidRPr="00BC5284" w:rsidRDefault="00855241">
            <w:pPr>
              <w:pStyle w:val="TableTextStocktake"/>
              <w:jc w:val="right"/>
            </w:pPr>
            <w:r w:rsidRPr="00BC5284">
              <w:rPr>
                <w:sz w:val="14"/>
                <w:szCs w:val="14"/>
              </w:rPr>
              <w:t>130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494B4B" w14:textId="77777777" w:rsidR="00855241" w:rsidRPr="00BC5284" w:rsidRDefault="00855241">
            <w:pPr>
              <w:pStyle w:val="TableTextStocktake"/>
              <w:jc w:val="right"/>
            </w:pPr>
            <w:r w:rsidRPr="00BC5284">
              <w:rPr>
                <w:sz w:val="14"/>
                <w:szCs w:val="14"/>
              </w:rPr>
              <w:t>141,845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DA3F4E"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BB82FB" w14:textId="77777777" w:rsidR="00855241" w:rsidRPr="00BC5284" w:rsidRDefault="00855241">
            <w:pPr>
              <w:pStyle w:val="TableTextStocktake"/>
              <w:jc w:val="right"/>
            </w:pPr>
            <w:r w:rsidRPr="00BC5284">
              <w:rPr>
                <w:sz w:val="14"/>
                <w:szCs w:val="14"/>
              </w:rPr>
              <w:t>63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9CA389" w14:textId="77777777" w:rsidR="00855241" w:rsidRPr="00BC5284" w:rsidRDefault="00855241">
            <w:pPr>
              <w:pStyle w:val="TableTextStocktake"/>
              <w:jc w:val="right"/>
            </w:pPr>
            <w:r w:rsidRPr="00BC5284">
              <w:rPr>
                <w:sz w:val="14"/>
                <w:szCs w:val="14"/>
              </w:rPr>
              <w:t>70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3A9C22"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848445" w14:textId="77777777" w:rsidR="00855241" w:rsidRPr="00BC5284" w:rsidRDefault="00855241">
            <w:pPr>
              <w:pStyle w:val="TableTextStocktake"/>
              <w:jc w:val="right"/>
            </w:pPr>
            <w:r w:rsidRPr="00BC5284">
              <w:rPr>
                <w:sz w:val="14"/>
                <w:szCs w:val="14"/>
              </w:rPr>
              <w:t>71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ED2FC39" w14:textId="77777777" w:rsidR="00855241" w:rsidRPr="00BC5284" w:rsidRDefault="00855241">
            <w:pPr>
              <w:pStyle w:val="TableTextStocktake"/>
              <w:jc w:val="right"/>
            </w:pPr>
            <w:r w:rsidRPr="00BC5284">
              <w:rPr>
                <w:sz w:val="14"/>
                <w:szCs w:val="14"/>
              </w:rPr>
              <w:t>127</w:t>
            </w:r>
          </w:p>
        </w:tc>
      </w:tr>
      <w:tr w:rsidR="00855241" w:rsidRPr="00BC5284" w14:paraId="520E88A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5993467" w14:textId="77777777" w:rsidR="00855241" w:rsidRPr="00BC5284" w:rsidRDefault="00855241">
            <w:pPr>
              <w:pStyle w:val="TableTextStocktake"/>
            </w:pPr>
            <w:r w:rsidRPr="00BC5284">
              <w:rPr>
                <w:sz w:val="14"/>
                <w:szCs w:val="14"/>
              </w:rPr>
              <w:t>Gannawarra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7C162F"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6BB67C" w14:textId="77777777" w:rsidR="00855241" w:rsidRPr="00BC5284" w:rsidRDefault="00855241">
            <w:pPr>
              <w:pStyle w:val="TableTextStocktake"/>
              <w:jc w:val="right"/>
            </w:pPr>
            <w:r w:rsidRPr="00BC5284">
              <w:rPr>
                <w:sz w:val="14"/>
                <w:szCs w:val="14"/>
              </w:rPr>
              <w:t>3,735</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446960" w14:textId="77777777" w:rsidR="00855241" w:rsidRPr="00BC5284" w:rsidRDefault="00855241">
            <w:pPr>
              <w:pStyle w:val="TableTextStocktake"/>
              <w:jc w:val="right"/>
            </w:pPr>
            <w:r w:rsidRPr="00BC5284">
              <w:rPr>
                <w:sz w:val="14"/>
                <w:szCs w:val="14"/>
              </w:rPr>
              <w:t>10,547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8B3AF0" w14:textId="77777777" w:rsidR="00855241" w:rsidRPr="00BC5284" w:rsidRDefault="00855241">
            <w:pPr>
              <w:pStyle w:val="TableTextStocktake"/>
              <w:jc w:val="right"/>
            </w:pPr>
            <w:r w:rsidRPr="00BC5284">
              <w:rPr>
                <w:sz w:val="14"/>
                <w:szCs w:val="14"/>
              </w:rPr>
              <w:t>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60EE14" w14:textId="77777777" w:rsidR="00855241" w:rsidRPr="00BC5284" w:rsidRDefault="00855241">
            <w:pPr>
              <w:pStyle w:val="TableTextStocktake"/>
              <w:jc w:val="right"/>
            </w:pPr>
            <w:r w:rsidRPr="00BC5284">
              <w:rPr>
                <w:sz w:val="14"/>
                <w:szCs w:val="14"/>
              </w:rPr>
              <w:t>21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9A522C" w14:textId="77777777" w:rsidR="00855241" w:rsidRPr="00BC5284" w:rsidRDefault="00855241">
            <w:pPr>
              <w:pStyle w:val="TableTextStocktake"/>
              <w:jc w:val="right"/>
            </w:pPr>
            <w:r w:rsidRPr="00BC5284">
              <w:rPr>
                <w:sz w:val="14"/>
                <w:szCs w:val="14"/>
              </w:rPr>
              <w:t>25</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4F6B2D"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CF8DAA" w14:textId="77777777" w:rsidR="00855241" w:rsidRPr="00BC5284" w:rsidRDefault="00855241">
            <w:pPr>
              <w:pStyle w:val="TableTextStocktake"/>
              <w:jc w:val="right"/>
            </w:pPr>
            <w:r w:rsidRPr="00BC5284">
              <w:rPr>
                <w:sz w:val="14"/>
                <w:szCs w:val="14"/>
              </w:rPr>
              <w:t>25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87A9763" w14:textId="77777777" w:rsidR="00855241" w:rsidRPr="00BC5284" w:rsidRDefault="00855241">
            <w:pPr>
              <w:pStyle w:val="TableTextStocktake"/>
              <w:jc w:val="right"/>
            </w:pPr>
            <w:r w:rsidRPr="00BC5284">
              <w:rPr>
                <w:sz w:val="14"/>
                <w:szCs w:val="14"/>
              </w:rPr>
              <w:t>91</w:t>
            </w:r>
          </w:p>
        </w:tc>
      </w:tr>
      <w:tr w:rsidR="00855241" w:rsidRPr="00BC5284" w14:paraId="1CC305F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9C7643" w14:textId="77777777" w:rsidR="00855241" w:rsidRPr="00BC5284" w:rsidRDefault="00855241">
            <w:pPr>
              <w:pStyle w:val="TableTextStocktake"/>
            </w:pPr>
            <w:r w:rsidRPr="00BC5284">
              <w:rPr>
                <w:sz w:val="14"/>
                <w:szCs w:val="14"/>
              </w:rPr>
              <w:t>Glen Eira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719FCA"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0BCBBD" w14:textId="77777777" w:rsidR="00855241" w:rsidRPr="00BC5284" w:rsidRDefault="00855241">
            <w:pPr>
              <w:pStyle w:val="TableTextStocktake"/>
              <w:jc w:val="right"/>
            </w:pPr>
            <w:r w:rsidRPr="00BC5284">
              <w:rPr>
                <w:sz w:val="14"/>
                <w:szCs w:val="14"/>
              </w:rPr>
              <w:t>39</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941D2D" w14:textId="77777777" w:rsidR="00855241" w:rsidRPr="00BC5284" w:rsidRDefault="00855241">
            <w:pPr>
              <w:pStyle w:val="TableTextStocktake"/>
              <w:jc w:val="right"/>
            </w:pPr>
            <w:r w:rsidRPr="00BC5284">
              <w:rPr>
                <w:sz w:val="14"/>
                <w:szCs w:val="14"/>
              </w:rPr>
              <w:t>153,858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302993" w14:textId="77777777" w:rsidR="00855241" w:rsidRPr="00BC5284" w:rsidRDefault="00855241">
            <w:pPr>
              <w:pStyle w:val="TableTextStocktake"/>
              <w:jc w:val="right"/>
            </w:pPr>
            <w:r w:rsidRPr="00BC5284">
              <w:rPr>
                <w:sz w:val="14"/>
                <w:szCs w:val="14"/>
              </w:rPr>
              <w:t>21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B7F1A0" w14:textId="77777777" w:rsidR="00855241" w:rsidRPr="00BC5284" w:rsidRDefault="00855241">
            <w:pPr>
              <w:pStyle w:val="TableTextStocktake"/>
              <w:jc w:val="right"/>
            </w:pPr>
            <w:r w:rsidRPr="00BC5284">
              <w:rPr>
                <w:sz w:val="14"/>
                <w:szCs w:val="14"/>
              </w:rPr>
              <w:t>109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BD5F77" w14:textId="77777777" w:rsidR="00855241" w:rsidRPr="00BC5284" w:rsidRDefault="00855241">
            <w:pPr>
              <w:pStyle w:val="TableTextStocktake"/>
              <w:jc w:val="right"/>
            </w:pPr>
            <w:r w:rsidRPr="00BC5284">
              <w:rPr>
                <w:sz w:val="14"/>
                <w:szCs w:val="14"/>
              </w:rPr>
              <w:t>130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0437FD" w14:textId="77777777" w:rsidR="00855241" w:rsidRPr="00BC5284" w:rsidRDefault="00855241">
            <w:pPr>
              <w:pStyle w:val="TableTextStocktake"/>
              <w:jc w:val="right"/>
            </w:pPr>
            <w:r w:rsidRPr="00BC5284">
              <w:rPr>
                <w:sz w:val="14"/>
                <w:szCs w:val="14"/>
              </w:rPr>
              <w:t>17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E4C3FF" w14:textId="77777777" w:rsidR="00855241" w:rsidRPr="00BC5284" w:rsidRDefault="00855241">
            <w:pPr>
              <w:pStyle w:val="TableTextStocktake"/>
              <w:jc w:val="right"/>
            </w:pPr>
            <w:r w:rsidRPr="00BC5284">
              <w:rPr>
                <w:sz w:val="14"/>
                <w:szCs w:val="14"/>
              </w:rPr>
              <w:t>147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53FD45F" w14:textId="77777777" w:rsidR="00855241" w:rsidRPr="00BC5284" w:rsidRDefault="00855241">
            <w:pPr>
              <w:pStyle w:val="TableTextStocktake"/>
              <w:jc w:val="right"/>
            </w:pPr>
            <w:r w:rsidRPr="00BC5284">
              <w:rPr>
                <w:sz w:val="14"/>
                <w:szCs w:val="14"/>
              </w:rPr>
              <w:t>3,275</w:t>
            </w:r>
          </w:p>
        </w:tc>
      </w:tr>
      <w:tr w:rsidR="00855241" w:rsidRPr="00BC5284" w14:paraId="18EAE63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C8E38C" w14:textId="77777777" w:rsidR="00855241" w:rsidRPr="00BC5284" w:rsidRDefault="00855241">
            <w:pPr>
              <w:pStyle w:val="TableTextStocktake"/>
            </w:pPr>
            <w:r w:rsidRPr="00BC5284">
              <w:rPr>
                <w:sz w:val="14"/>
                <w:szCs w:val="14"/>
              </w:rPr>
              <w:t>Glenelg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CE2D47"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ABD835" w14:textId="77777777" w:rsidR="00855241" w:rsidRPr="00BC5284" w:rsidRDefault="00855241">
            <w:pPr>
              <w:pStyle w:val="TableTextStocktake"/>
              <w:jc w:val="right"/>
            </w:pPr>
            <w:r w:rsidRPr="00BC5284">
              <w:rPr>
                <w:sz w:val="14"/>
                <w:szCs w:val="14"/>
              </w:rPr>
              <w:t>6,219</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923F45" w14:textId="77777777" w:rsidR="00855241" w:rsidRPr="00BC5284" w:rsidRDefault="00855241">
            <w:pPr>
              <w:pStyle w:val="TableTextStocktake"/>
              <w:jc w:val="right"/>
            </w:pPr>
            <w:r w:rsidRPr="00BC5284">
              <w:rPr>
                <w:sz w:val="14"/>
                <w:szCs w:val="14"/>
              </w:rPr>
              <w:t>19,665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9227FD" w14:textId="77777777" w:rsidR="00855241" w:rsidRPr="00BC5284" w:rsidRDefault="00855241">
            <w:pPr>
              <w:pStyle w:val="TableTextStocktake"/>
              <w:jc w:val="right"/>
            </w:pPr>
            <w:r w:rsidRPr="00BC5284">
              <w:rPr>
                <w:sz w:val="14"/>
                <w:szCs w:val="14"/>
              </w:rPr>
              <w:t>33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14DA5F" w14:textId="77777777" w:rsidR="00855241" w:rsidRPr="00BC5284" w:rsidRDefault="00855241">
            <w:pPr>
              <w:pStyle w:val="TableTextStocktake"/>
              <w:jc w:val="right"/>
            </w:pPr>
            <w:r w:rsidRPr="00BC5284">
              <w:rPr>
                <w:sz w:val="14"/>
                <w:szCs w:val="14"/>
              </w:rPr>
              <w:t>239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0A3099" w14:textId="77777777" w:rsidR="00855241" w:rsidRPr="00BC5284" w:rsidRDefault="00855241">
            <w:pPr>
              <w:pStyle w:val="TableTextStocktake"/>
              <w:jc w:val="right"/>
            </w:pPr>
            <w:r w:rsidRPr="00BC5284">
              <w:rPr>
                <w:sz w:val="14"/>
                <w:szCs w:val="14"/>
              </w:rPr>
              <w:t>272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F73F5D" w14:textId="77777777" w:rsidR="00855241" w:rsidRPr="00BC5284" w:rsidRDefault="00855241">
            <w:pPr>
              <w:pStyle w:val="TableTextStocktake"/>
              <w:jc w:val="right"/>
            </w:pPr>
            <w:r w:rsidRPr="00BC5284">
              <w:rPr>
                <w:sz w:val="14"/>
                <w:szCs w:val="14"/>
              </w:rPr>
              <w:t>10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46AE33" w14:textId="77777777" w:rsidR="00855241" w:rsidRPr="00BC5284" w:rsidRDefault="00855241">
            <w:pPr>
              <w:pStyle w:val="TableTextStocktake"/>
              <w:jc w:val="right"/>
            </w:pPr>
            <w:r w:rsidRPr="00BC5284">
              <w:rPr>
                <w:sz w:val="14"/>
                <w:szCs w:val="14"/>
              </w:rPr>
              <w:t>282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595A515" w14:textId="77777777" w:rsidR="00855241" w:rsidRPr="00BC5284" w:rsidRDefault="00855241">
            <w:pPr>
              <w:pStyle w:val="TableTextStocktake"/>
              <w:jc w:val="right"/>
            </w:pPr>
            <w:r w:rsidRPr="00BC5284">
              <w:rPr>
                <w:sz w:val="14"/>
                <w:szCs w:val="14"/>
              </w:rPr>
              <w:t>985</w:t>
            </w:r>
          </w:p>
        </w:tc>
      </w:tr>
      <w:tr w:rsidR="00855241" w:rsidRPr="00BC5284" w14:paraId="69ADFB7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8E2EFD" w14:textId="77777777" w:rsidR="00855241" w:rsidRPr="00BC5284" w:rsidRDefault="00855241">
            <w:pPr>
              <w:pStyle w:val="TableTextStocktake"/>
            </w:pPr>
            <w:r w:rsidRPr="00BC5284">
              <w:rPr>
                <w:sz w:val="14"/>
                <w:szCs w:val="14"/>
              </w:rPr>
              <w:t>Golden Plains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AD4813"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B2C22A" w14:textId="77777777" w:rsidR="00855241" w:rsidRPr="00BC5284" w:rsidRDefault="00855241">
            <w:pPr>
              <w:pStyle w:val="TableTextStocktake"/>
              <w:jc w:val="right"/>
            </w:pPr>
            <w:r w:rsidRPr="00BC5284">
              <w:rPr>
                <w:sz w:val="14"/>
                <w:szCs w:val="14"/>
              </w:rPr>
              <w:t>2,703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CFA71C" w14:textId="77777777" w:rsidR="00855241" w:rsidRPr="00BC5284" w:rsidRDefault="00855241">
            <w:pPr>
              <w:pStyle w:val="TableTextStocktake"/>
              <w:jc w:val="right"/>
            </w:pPr>
            <w:r w:rsidRPr="00BC5284">
              <w:rPr>
                <w:sz w:val="14"/>
                <w:szCs w:val="14"/>
              </w:rPr>
              <w:t>23,120</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4AE611" w14:textId="77777777" w:rsidR="00855241" w:rsidRPr="00BC5284" w:rsidRDefault="00855241">
            <w:pPr>
              <w:pStyle w:val="TableTextStocktake"/>
              <w:jc w:val="right"/>
            </w:pPr>
            <w:r w:rsidRPr="00BC5284">
              <w:rPr>
                <w:sz w:val="14"/>
                <w:szCs w:val="14"/>
              </w:rPr>
              <w:t>20</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68EE9F" w14:textId="77777777" w:rsidR="00855241" w:rsidRPr="00BC5284" w:rsidRDefault="00855241">
            <w:pPr>
              <w:pStyle w:val="TableTextStocktake"/>
              <w:jc w:val="right"/>
            </w:pPr>
            <w:r w:rsidRPr="00BC5284">
              <w:rPr>
                <w:sz w:val="14"/>
                <w:szCs w:val="14"/>
              </w:rPr>
              <w:t>114</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971871" w14:textId="77777777" w:rsidR="00855241" w:rsidRPr="00BC5284" w:rsidRDefault="00855241">
            <w:pPr>
              <w:pStyle w:val="TableTextStocktake"/>
              <w:jc w:val="right"/>
            </w:pPr>
            <w:r w:rsidRPr="00BC5284">
              <w:rPr>
                <w:sz w:val="14"/>
                <w:szCs w:val="14"/>
              </w:rPr>
              <w:t>134</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914FE3"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B29115" w14:textId="77777777" w:rsidR="00855241" w:rsidRPr="00BC5284" w:rsidRDefault="00855241">
            <w:pPr>
              <w:pStyle w:val="TableTextStocktake"/>
              <w:jc w:val="right"/>
            </w:pPr>
            <w:r w:rsidRPr="00BC5284">
              <w:rPr>
                <w:sz w:val="14"/>
                <w:szCs w:val="14"/>
              </w:rPr>
              <w:t>146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3748F65" w14:textId="77777777" w:rsidR="00855241" w:rsidRPr="00BC5284" w:rsidRDefault="00855241">
            <w:pPr>
              <w:pStyle w:val="TableTextStocktake"/>
              <w:jc w:val="right"/>
            </w:pPr>
            <w:r w:rsidRPr="00BC5284">
              <w:rPr>
                <w:sz w:val="14"/>
                <w:szCs w:val="14"/>
              </w:rPr>
              <w:t>559</w:t>
            </w:r>
          </w:p>
        </w:tc>
      </w:tr>
      <w:tr w:rsidR="00855241" w:rsidRPr="00BC5284" w14:paraId="02064E1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941184" w14:textId="77777777" w:rsidR="00855241" w:rsidRPr="00BC5284" w:rsidRDefault="00855241">
            <w:pPr>
              <w:pStyle w:val="TableTextStocktake"/>
            </w:pPr>
            <w:r w:rsidRPr="00BC5284">
              <w:rPr>
                <w:sz w:val="14"/>
                <w:szCs w:val="14"/>
              </w:rPr>
              <w:t>Greater Bendigo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70CB46"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32F980" w14:textId="77777777" w:rsidR="00855241" w:rsidRPr="00BC5284" w:rsidRDefault="00855241">
            <w:pPr>
              <w:pStyle w:val="TableTextStocktake"/>
              <w:jc w:val="right"/>
            </w:pPr>
            <w:r w:rsidRPr="00BC5284">
              <w:rPr>
                <w:sz w:val="14"/>
                <w:szCs w:val="14"/>
              </w:rPr>
              <w:t>3,000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9A5865" w14:textId="77777777" w:rsidR="00855241" w:rsidRPr="00BC5284" w:rsidRDefault="00855241">
            <w:pPr>
              <w:pStyle w:val="TableTextStocktake"/>
              <w:jc w:val="right"/>
            </w:pPr>
            <w:r w:rsidRPr="00BC5284">
              <w:rPr>
                <w:sz w:val="14"/>
                <w:szCs w:val="14"/>
              </w:rPr>
              <w:t>116,045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3E2409" w14:textId="77777777" w:rsidR="00855241" w:rsidRPr="00BC5284" w:rsidRDefault="00855241">
            <w:pPr>
              <w:pStyle w:val="TableTextStocktake"/>
              <w:jc w:val="right"/>
            </w:pPr>
            <w:r w:rsidRPr="00BC5284">
              <w:rPr>
                <w:sz w:val="14"/>
                <w:szCs w:val="14"/>
              </w:rPr>
              <w:t>108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F9452A" w14:textId="77777777" w:rsidR="00855241" w:rsidRPr="00BC5284" w:rsidRDefault="00855241">
            <w:pPr>
              <w:pStyle w:val="TableTextStocktake"/>
              <w:jc w:val="right"/>
            </w:pPr>
            <w:r w:rsidRPr="00BC5284">
              <w:rPr>
                <w:sz w:val="14"/>
                <w:szCs w:val="14"/>
              </w:rPr>
              <w:t>682</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DF1234" w14:textId="77777777" w:rsidR="00855241" w:rsidRPr="00BC5284" w:rsidRDefault="00855241">
            <w:pPr>
              <w:pStyle w:val="TableTextStocktake"/>
              <w:jc w:val="right"/>
            </w:pPr>
            <w:r w:rsidRPr="00BC5284">
              <w:rPr>
                <w:sz w:val="14"/>
                <w:szCs w:val="14"/>
              </w:rPr>
              <w:t>790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CA4CB3" w14:textId="77777777" w:rsidR="00855241" w:rsidRPr="00BC5284" w:rsidRDefault="00855241">
            <w:pPr>
              <w:pStyle w:val="TableTextStocktake"/>
              <w:jc w:val="right"/>
            </w:pPr>
            <w:r w:rsidRPr="00BC5284">
              <w:rPr>
                <w:sz w:val="14"/>
                <w:szCs w:val="14"/>
              </w:rPr>
              <w:t>47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ED59E1" w14:textId="77777777" w:rsidR="00855241" w:rsidRPr="00BC5284" w:rsidRDefault="00855241">
            <w:pPr>
              <w:pStyle w:val="TableTextStocktake"/>
              <w:jc w:val="right"/>
            </w:pPr>
            <w:r w:rsidRPr="00BC5284">
              <w:rPr>
                <w:sz w:val="14"/>
                <w:szCs w:val="14"/>
              </w:rPr>
              <w:t>837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F9DC11E" w14:textId="77777777" w:rsidR="00855241" w:rsidRPr="00BC5284" w:rsidRDefault="00855241">
            <w:pPr>
              <w:pStyle w:val="TableTextStocktake"/>
              <w:jc w:val="right"/>
            </w:pPr>
            <w:r w:rsidRPr="00BC5284">
              <w:rPr>
                <w:sz w:val="14"/>
                <w:szCs w:val="14"/>
              </w:rPr>
              <w:t>6,884</w:t>
            </w:r>
          </w:p>
        </w:tc>
      </w:tr>
      <w:tr w:rsidR="00855241" w:rsidRPr="00BC5284" w14:paraId="4F19863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EF09BF" w14:textId="77777777" w:rsidR="00855241" w:rsidRPr="00BC5284" w:rsidRDefault="00855241">
            <w:pPr>
              <w:pStyle w:val="TableTextStocktake"/>
            </w:pPr>
            <w:r w:rsidRPr="00BC5284">
              <w:rPr>
                <w:sz w:val="14"/>
                <w:szCs w:val="14"/>
              </w:rPr>
              <w:t>Greater Dandenong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55B71C"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5E8C09" w14:textId="77777777" w:rsidR="00855241" w:rsidRPr="00BC5284" w:rsidRDefault="00855241">
            <w:pPr>
              <w:pStyle w:val="TableTextStocktake"/>
              <w:jc w:val="right"/>
            </w:pPr>
            <w:r w:rsidRPr="00BC5284">
              <w:rPr>
                <w:sz w:val="14"/>
                <w:szCs w:val="14"/>
              </w:rPr>
              <w:t>130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2EE71A" w14:textId="77777777" w:rsidR="00855241" w:rsidRPr="00BC5284" w:rsidRDefault="00855241">
            <w:pPr>
              <w:pStyle w:val="TableTextStocktake"/>
              <w:jc w:val="right"/>
            </w:pPr>
            <w:r w:rsidRPr="00BC5284">
              <w:rPr>
                <w:sz w:val="14"/>
                <w:szCs w:val="14"/>
              </w:rPr>
              <w:t>166,094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647BE8" w14:textId="77777777" w:rsidR="00855241" w:rsidRPr="00BC5284" w:rsidRDefault="00855241">
            <w:pPr>
              <w:pStyle w:val="TableTextStocktake"/>
              <w:jc w:val="right"/>
            </w:pPr>
            <w:r w:rsidRPr="00BC5284">
              <w:rPr>
                <w:sz w:val="14"/>
                <w:szCs w:val="14"/>
              </w:rPr>
              <w:t>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F24B3F" w14:textId="77777777" w:rsidR="00855241" w:rsidRPr="00BC5284" w:rsidRDefault="00855241">
            <w:pPr>
              <w:pStyle w:val="TableTextStocktake"/>
              <w:jc w:val="right"/>
            </w:pPr>
            <w:r w:rsidRPr="00BC5284">
              <w:rPr>
                <w:sz w:val="14"/>
                <w:szCs w:val="14"/>
              </w:rPr>
              <w:t>67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3D5C8C" w14:textId="77777777" w:rsidR="00855241" w:rsidRPr="00BC5284" w:rsidRDefault="00855241">
            <w:pPr>
              <w:pStyle w:val="TableTextStocktake"/>
              <w:jc w:val="right"/>
            </w:pPr>
            <w:r w:rsidRPr="00BC5284">
              <w:rPr>
                <w:sz w:val="14"/>
                <w:szCs w:val="14"/>
              </w:rPr>
              <w:t>68</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14243A"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BE95D8" w14:textId="77777777" w:rsidR="00855241" w:rsidRPr="00BC5284" w:rsidRDefault="00855241">
            <w:pPr>
              <w:pStyle w:val="TableTextStocktake"/>
              <w:jc w:val="right"/>
            </w:pPr>
            <w:r w:rsidRPr="00BC5284">
              <w:rPr>
                <w:sz w:val="14"/>
                <w:szCs w:val="14"/>
              </w:rPr>
              <w:t>68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7875D77" w14:textId="77777777" w:rsidR="00855241" w:rsidRPr="00BC5284" w:rsidRDefault="00855241">
            <w:pPr>
              <w:pStyle w:val="TableTextStocktake"/>
              <w:jc w:val="right"/>
            </w:pPr>
            <w:r w:rsidRPr="00BC5284">
              <w:rPr>
                <w:sz w:val="14"/>
                <w:szCs w:val="14"/>
              </w:rPr>
              <w:t>158</w:t>
            </w:r>
          </w:p>
        </w:tc>
      </w:tr>
      <w:tr w:rsidR="00855241" w:rsidRPr="00BC5284" w14:paraId="7FEB5BA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3F63C5" w14:textId="77777777" w:rsidR="00855241" w:rsidRPr="00BC5284" w:rsidRDefault="00855241">
            <w:pPr>
              <w:pStyle w:val="TableTextStocktake"/>
            </w:pPr>
            <w:r w:rsidRPr="00BC5284">
              <w:rPr>
                <w:sz w:val="14"/>
                <w:szCs w:val="14"/>
              </w:rPr>
              <w:t>Greater Geelong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E34A58"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A7DA47" w14:textId="77777777" w:rsidR="00855241" w:rsidRPr="00BC5284" w:rsidRDefault="00855241">
            <w:pPr>
              <w:pStyle w:val="TableTextStocktake"/>
              <w:jc w:val="right"/>
            </w:pPr>
            <w:r w:rsidRPr="00BC5284">
              <w:rPr>
                <w:sz w:val="14"/>
                <w:szCs w:val="14"/>
              </w:rPr>
              <w:t>1,248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6D9423" w14:textId="77777777" w:rsidR="00855241" w:rsidRPr="00BC5284" w:rsidRDefault="00855241">
            <w:pPr>
              <w:pStyle w:val="TableTextStocktake"/>
              <w:jc w:val="right"/>
            </w:pPr>
            <w:r w:rsidRPr="00BC5284">
              <w:rPr>
                <w:sz w:val="14"/>
                <w:szCs w:val="14"/>
              </w:rPr>
              <w:t>252,217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D8BAFC" w14:textId="77777777" w:rsidR="00855241" w:rsidRPr="00BC5284" w:rsidRDefault="00855241">
            <w:pPr>
              <w:pStyle w:val="TableTextStocktake"/>
              <w:jc w:val="right"/>
            </w:pPr>
            <w:r w:rsidRPr="00BC5284">
              <w:rPr>
                <w:sz w:val="14"/>
                <w:szCs w:val="14"/>
              </w:rPr>
              <w:t>121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8A3F32" w14:textId="77777777" w:rsidR="00855241" w:rsidRPr="00BC5284" w:rsidRDefault="00855241">
            <w:pPr>
              <w:pStyle w:val="TableTextStocktake"/>
              <w:jc w:val="right"/>
            </w:pPr>
            <w:r w:rsidRPr="00BC5284">
              <w:rPr>
                <w:sz w:val="14"/>
                <w:szCs w:val="14"/>
              </w:rPr>
              <w:t>1,070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A73F81" w14:textId="77777777" w:rsidR="00855241" w:rsidRPr="00BC5284" w:rsidRDefault="00855241">
            <w:pPr>
              <w:pStyle w:val="TableTextStocktake"/>
              <w:jc w:val="right"/>
            </w:pPr>
            <w:r w:rsidRPr="00BC5284">
              <w:rPr>
                <w:sz w:val="14"/>
                <w:szCs w:val="14"/>
              </w:rPr>
              <w:t>1,191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3BDF47" w14:textId="77777777" w:rsidR="00855241" w:rsidRPr="00BC5284" w:rsidRDefault="00855241">
            <w:pPr>
              <w:pStyle w:val="TableTextStocktake"/>
              <w:jc w:val="right"/>
            </w:pPr>
            <w:r w:rsidRPr="00BC5284">
              <w:rPr>
                <w:sz w:val="14"/>
                <w:szCs w:val="14"/>
              </w:rPr>
              <w:t>55</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AF16F18" w14:textId="77777777" w:rsidR="00855241" w:rsidRPr="00BC5284" w:rsidRDefault="00855241">
            <w:pPr>
              <w:pStyle w:val="TableTextStocktake"/>
              <w:jc w:val="right"/>
            </w:pPr>
            <w:r w:rsidRPr="00BC5284">
              <w:rPr>
                <w:sz w:val="14"/>
                <w:szCs w:val="14"/>
              </w:rPr>
              <w:t>1,246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B3FF6CA" w14:textId="77777777" w:rsidR="00855241" w:rsidRPr="00BC5284" w:rsidRDefault="00855241">
            <w:pPr>
              <w:pStyle w:val="TableTextStocktake"/>
              <w:jc w:val="right"/>
            </w:pPr>
            <w:r w:rsidRPr="00BC5284">
              <w:rPr>
                <w:sz w:val="14"/>
                <w:szCs w:val="14"/>
              </w:rPr>
              <w:t>8,599</w:t>
            </w:r>
          </w:p>
        </w:tc>
      </w:tr>
      <w:tr w:rsidR="00855241" w:rsidRPr="00BC5284" w14:paraId="4E6341C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27FF52" w14:textId="77777777" w:rsidR="00855241" w:rsidRPr="00BC5284" w:rsidRDefault="00855241">
            <w:pPr>
              <w:pStyle w:val="TableTextStocktake"/>
            </w:pPr>
            <w:r w:rsidRPr="00BC5284">
              <w:rPr>
                <w:sz w:val="14"/>
                <w:szCs w:val="14"/>
              </w:rPr>
              <w:t>Greater Shepparton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7AA4C3"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0F9A9E" w14:textId="77777777" w:rsidR="00855241" w:rsidRPr="00BC5284" w:rsidRDefault="00855241">
            <w:pPr>
              <w:pStyle w:val="TableTextStocktake"/>
              <w:jc w:val="right"/>
            </w:pPr>
            <w:r w:rsidRPr="00BC5284">
              <w:rPr>
                <w:sz w:val="14"/>
                <w:szCs w:val="14"/>
              </w:rPr>
              <w:t>2,422</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AB7EB5" w14:textId="77777777" w:rsidR="00855241" w:rsidRPr="00BC5284" w:rsidRDefault="00855241">
            <w:pPr>
              <w:pStyle w:val="TableTextStocktake"/>
              <w:jc w:val="right"/>
            </w:pPr>
            <w:r w:rsidRPr="00BC5284">
              <w:rPr>
                <w:sz w:val="14"/>
                <w:szCs w:val="14"/>
              </w:rPr>
              <w:t>66,007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28C165" w14:textId="77777777" w:rsidR="00855241" w:rsidRPr="00BC5284" w:rsidRDefault="00855241">
            <w:pPr>
              <w:pStyle w:val="TableTextStocktake"/>
              <w:jc w:val="right"/>
            </w:pPr>
            <w:r w:rsidRPr="00BC5284">
              <w:rPr>
                <w:sz w:val="14"/>
                <w:szCs w:val="14"/>
              </w:rPr>
              <w:t>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8FF8C9" w14:textId="77777777" w:rsidR="00855241" w:rsidRPr="00BC5284" w:rsidRDefault="00855241">
            <w:pPr>
              <w:pStyle w:val="TableTextStocktake"/>
              <w:jc w:val="right"/>
            </w:pPr>
            <w:r w:rsidRPr="00BC5284">
              <w:rPr>
                <w:sz w:val="14"/>
                <w:szCs w:val="14"/>
              </w:rPr>
              <w:t>357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482097" w14:textId="77777777" w:rsidR="00855241" w:rsidRPr="00BC5284" w:rsidRDefault="00855241">
            <w:pPr>
              <w:pStyle w:val="TableTextStocktake"/>
              <w:jc w:val="right"/>
            </w:pPr>
            <w:r w:rsidRPr="00BC5284">
              <w:rPr>
                <w:sz w:val="14"/>
                <w:szCs w:val="14"/>
              </w:rPr>
              <w:t>365</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173E6F" w14:textId="77777777" w:rsidR="00855241" w:rsidRPr="00BC5284" w:rsidRDefault="00855241">
            <w:pPr>
              <w:pStyle w:val="TableTextStocktake"/>
              <w:jc w:val="right"/>
            </w:pPr>
            <w:r w:rsidRPr="00BC5284">
              <w:rPr>
                <w:sz w:val="14"/>
                <w:szCs w:val="14"/>
              </w:rPr>
              <w:t>13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C312A6" w14:textId="77777777" w:rsidR="00855241" w:rsidRPr="00BC5284" w:rsidRDefault="00855241">
            <w:pPr>
              <w:pStyle w:val="TableTextStocktake"/>
              <w:jc w:val="right"/>
            </w:pPr>
            <w:r w:rsidRPr="00BC5284">
              <w:rPr>
                <w:sz w:val="14"/>
                <w:szCs w:val="14"/>
              </w:rPr>
              <w:t>378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5AF3A7B" w14:textId="77777777" w:rsidR="00855241" w:rsidRPr="00BC5284" w:rsidRDefault="00855241">
            <w:pPr>
              <w:pStyle w:val="TableTextStocktake"/>
              <w:jc w:val="right"/>
            </w:pPr>
            <w:r w:rsidRPr="00BC5284">
              <w:rPr>
                <w:sz w:val="14"/>
                <w:szCs w:val="14"/>
              </w:rPr>
              <w:t>1,001</w:t>
            </w:r>
          </w:p>
        </w:tc>
      </w:tr>
      <w:tr w:rsidR="00855241" w:rsidRPr="00BC5284" w14:paraId="1D75280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E00307" w14:textId="77777777" w:rsidR="00855241" w:rsidRPr="00BC5284" w:rsidRDefault="00855241">
            <w:pPr>
              <w:pStyle w:val="TableTextStocktake"/>
            </w:pPr>
            <w:r w:rsidRPr="00BC5284">
              <w:rPr>
                <w:sz w:val="14"/>
                <w:szCs w:val="14"/>
              </w:rPr>
              <w:t>Hepburn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E10E2B"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E94D4E" w14:textId="77777777" w:rsidR="00855241" w:rsidRPr="00BC5284" w:rsidRDefault="00855241">
            <w:pPr>
              <w:pStyle w:val="TableTextStocktake"/>
              <w:jc w:val="right"/>
            </w:pPr>
            <w:r w:rsidRPr="00BC5284">
              <w:rPr>
                <w:sz w:val="14"/>
                <w:szCs w:val="14"/>
              </w:rPr>
              <w:t>1,473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478054" w14:textId="77777777" w:rsidR="00855241" w:rsidRPr="00BC5284" w:rsidRDefault="00855241">
            <w:pPr>
              <w:pStyle w:val="TableTextStocktake"/>
              <w:jc w:val="right"/>
            </w:pPr>
            <w:r w:rsidRPr="00BC5284">
              <w:rPr>
                <w:sz w:val="14"/>
                <w:szCs w:val="14"/>
              </w:rPr>
              <w:t>15,812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12EBF0" w14:textId="77777777" w:rsidR="00855241" w:rsidRPr="00BC5284" w:rsidRDefault="00855241">
            <w:pPr>
              <w:pStyle w:val="TableTextStocktake"/>
              <w:jc w:val="right"/>
            </w:pPr>
            <w:r w:rsidRPr="00BC5284">
              <w:rPr>
                <w:sz w:val="14"/>
                <w:szCs w:val="14"/>
              </w:rPr>
              <w:t>43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F20C5D" w14:textId="77777777" w:rsidR="00855241" w:rsidRPr="00BC5284" w:rsidRDefault="00855241">
            <w:pPr>
              <w:pStyle w:val="TableTextStocktake"/>
              <w:jc w:val="right"/>
            </w:pPr>
            <w:r w:rsidRPr="00BC5284">
              <w:rPr>
                <w:sz w:val="14"/>
                <w:szCs w:val="14"/>
              </w:rPr>
              <w:t>836</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D10BC6" w14:textId="77777777" w:rsidR="00855241" w:rsidRPr="00BC5284" w:rsidRDefault="00855241">
            <w:pPr>
              <w:pStyle w:val="TableTextStocktake"/>
              <w:jc w:val="right"/>
            </w:pPr>
            <w:r w:rsidRPr="00BC5284">
              <w:rPr>
                <w:sz w:val="14"/>
                <w:szCs w:val="14"/>
              </w:rPr>
              <w:t>879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BD896A"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4D8338" w14:textId="77777777" w:rsidR="00855241" w:rsidRPr="00BC5284" w:rsidRDefault="00855241">
            <w:pPr>
              <w:pStyle w:val="TableTextStocktake"/>
              <w:jc w:val="right"/>
            </w:pPr>
            <w:r w:rsidRPr="00BC5284">
              <w:rPr>
                <w:sz w:val="14"/>
                <w:szCs w:val="14"/>
              </w:rPr>
              <w:t>891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3AFE1C5" w14:textId="77777777" w:rsidR="00855241" w:rsidRPr="00BC5284" w:rsidRDefault="00855241">
            <w:pPr>
              <w:pStyle w:val="TableTextStocktake"/>
              <w:jc w:val="right"/>
            </w:pPr>
            <w:r w:rsidRPr="00BC5284">
              <w:rPr>
                <w:sz w:val="14"/>
                <w:szCs w:val="14"/>
              </w:rPr>
              <w:t>1,866</w:t>
            </w:r>
          </w:p>
        </w:tc>
      </w:tr>
      <w:tr w:rsidR="00855241" w:rsidRPr="00BC5284" w14:paraId="5643CF7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8D1F69" w14:textId="77777777" w:rsidR="00855241" w:rsidRPr="00BC5284" w:rsidRDefault="00855241">
            <w:pPr>
              <w:pStyle w:val="TableTextStocktake"/>
            </w:pPr>
            <w:r w:rsidRPr="00BC5284">
              <w:rPr>
                <w:sz w:val="14"/>
                <w:szCs w:val="14"/>
              </w:rPr>
              <w:t>Hindmarsh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FABF95"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949910" w14:textId="77777777" w:rsidR="00855241" w:rsidRPr="00BC5284" w:rsidRDefault="00855241">
            <w:pPr>
              <w:pStyle w:val="TableTextStocktake"/>
              <w:jc w:val="right"/>
            </w:pPr>
            <w:r w:rsidRPr="00BC5284">
              <w:rPr>
                <w:sz w:val="14"/>
                <w:szCs w:val="14"/>
              </w:rPr>
              <w:t>7,524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C0BDDF" w14:textId="77777777" w:rsidR="00855241" w:rsidRPr="00BC5284" w:rsidRDefault="00855241">
            <w:pPr>
              <w:pStyle w:val="TableTextStocktake"/>
              <w:jc w:val="right"/>
            </w:pPr>
            <w:r w:rsidRPr="00BC5284">
              <w:rPr>
                <w:sz w:val="14"/>
                <w:szCs w:val="14"/>
              </w:rPr>
              <w:t>5,645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4103A8" w14:textId="77777777" w:rsidR="00855241" w:rsidRPr="00BC5284" w:rsidRDefault="00855241">
            <w:pPr>
              <w:pStyle w:val="TableTextStocktake"/>
              <w:jc w:val="right"/>
            </w:pPr>
            <w:r w:rsidRPr="00BC5284">
              <w:rPr>
                <w:sz w:val="14"/>
                <w:szCs w:val="14"/>
              </w:rPr>
              <w:t>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36103C" w14:textId="77777777" w:rsidR="00855241" w:rsidRPr="00BC5284" w:rsidRDefault="00855241">
            <w:pPr>
              <w:pStyle w:val="TableTextStocktake"/>
              <w:jc w:val="right"/>
            </w:pPr>
            <w:r w:rsidRPr="00BC5284">
              <w:rPr>
                <w:sz w:val="14"/>
                <w:szCs w:val="14"/>
              </w:rPr>
              <w:t>35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199D39" w14:textId="77777777" w:rsidR="00855241" w:rsidRPr="00BC5284" w:rsidRDefault="00855241">
            <w:pPr>
              <w:pStyle w:val="TableTextStocktake"/>
              <w:jc w:val="right"/>
            </w:pPr>
            <w:r w:rsidRPr="00BC5284">
              <w:rPr>
                <w:sz w:val="14"/>
                <w:szCs w:val="14"/>
              </w:rPr>
              <w:t>39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B15BDE" w14:textId="77777777" w:rsidR="00855241" w:rsidRPr="00BC5284" w:rsidRDefault="00855241">
            <w:pPr>
              <w:pStyle w:val="TableTextStocktake"/>
              <w:jc w:val="right"/>
            </w:pPr>
            <w:r w:rsidRPr="00BC5284">
              <w:rPr>
                <w:sz w:val="14"/>
                <w:szCs w:val="14"/>
              </w:rPr>
              <w:t>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1E040D" w14:textId="77777777" w:rsidR="00855241" w:rsidRPr="00BC5284" w:rsidRDefault="00855241">
            <w:pPr>
              <w:pStyle w:val="TableTextStocktake"/>
              <w:jc w:val="right"/>
            </w:pPr>
            <w:r w:rsidRPr="00BC5284">
              <w:rPr>
                <w:sz w:val="14"/>
                <w:szCs w:val="14"/>
              </w:rPr>
              <w:t>41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88E4D9A" w14:textId="77777777" w:rsidR="00855241" w:rsidRPr="00BC5284" w:rsidRDefault="00855241">
            <w:pPr>
              <w:pStyle w:val="TableTextStocktake"/>
              <w:jc w:val="right"/>
            </w:pPr>
            <w:r w:rsidRPr="00BC5284">
              <w:rPr>
                <w:sz w:val="14"/>
                <w:szCs w:val="14"/>
              </w:rPr>
              <w:t>175</w:t>
            </w:r>
          </w:p>
        </w:tc>
      </w:tr>
      <w:tr w:rsidR="00855241" w:rsidRPr="00BC5284" w14:paraId="03625F2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7B86EA" w14:textId="77777777" w:rsidR="00855241" w:rsidRPr="00BC5284" w:rsidRDefault="00855241">
            <w:pPr>
              <w:pStyle w:val="TableTextStocktake"/>
            </w:pPr>
            <w:r w:rsidRPr="00BC5284">
              <w:rPr>
                <w:sz w:val="14"/>
                <w:szCs w:val="14"/>
              </w:rPr>
              <w:t>Hobsons Bay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F381B1"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C35678" w14:textId="77777777" w:rsidR="00855241" w:rsidRPr="00BC5284" w:rsidRDefault="00855241">
            <w:pPr>
              <w:pStyle w:val="TableTextStocktake"/>
              <w:jc w:val="right"/>
            </w:pPr>
            <w:r w:rsidRPr="00BC5284">
              <w:rPr>
                <w:sz w:val="14"/>
                <w:szCs w:val="14"/>
              </w:rPr>
              <w:t>64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D90B0A" w14:textId="77777777" w:rsidR="00855241" w:rsidRPr="00BC5284" w:rsidRDefault="00855241">
            <w:pPr>
              <w:pStyle w:val="TableTextStocktake"/>
              <w:jc w:val="right"/>
            </w:pPr>
            <w:r w:rsidRPr="00BC5284">
              <w:rPr>
                <w:sz w:val="14"/>
                <w:szCs w:val="14"/>
              </w:rPr>
              <w:t>96,470</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89697C" w14:textId="77777777" w:rsidR="00855241" w:rsidRPr="00BC5284" w:rsidRDefault="00855241">
            <w:pPr>
              <w:pStyle w:val="TableTextStocktake"/>
              <w:jc w:val="right"/>
            </w:pPr>
            <w:r w:rsidRPr="00BC5284">
              <w:rPr>
                <w:sz w:val="14"/>
                <w:szCs w:val="14"/>
              </w:rPr>
              <w:t>27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A06E46" w14:textId="77777777" w:rsidR="00855241" w:rsidRPr="00BC5284" w:rsidRDefault="00855241">
            <w:pPr>
              <w:pStyle w:val="TableTextStocktake"/>
              <w:jc w:val="right"/>
            </w:pPr>
            <w:r w:rsidRPr="00BC5284">
              <w:rPr>
                <w:sz w:val="14"/>
                <w:szCs w:val="14"/>
              </w:rPr>
              <w:t>246</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B33E0F" w14:textId="77777777" w:rsidR="00855241" w:rsidRPr="00BC5284" w:rsidRDefault="00855241">
            <w:pPr>
              <w:pStyle w:val="TableTextStocktake"/>
              <w:jc w:val="right"/>
            </w:pPr>
            <w:r w:rsidRPr="00BC5284">
              <w:rPr>
                <w:sz w:val="14"/>
                <w:szCs w:val="14"/>
              </w:rPr>
              <w:t>273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609BFD" w14:textId="77777777" w:rsidR="00855241" w:rsidRPr="00BC5284" w:rsidRDefault="00855241">
            <w:pPr>
              <w:pStyle w:val="TableTextStocktake"/>
              <w:jc w:val="right"/>
            </w:pPr>
            <w:r w:rsidRPr="00BC5284">
              <w:rPr>
                <w:sz w:val="14"/>
                <w:szCs w:val="14"/>
              </w:rPr>
              <w:t>34</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4D313F" w14:textId="77777777" w:rsidR="00855241" w:rsidRPr="00BC5284" w:rsidRDefault="00855241">
            <w:pPr>
              <w:pStyle w:val="TableTextStocktake"/>
              <w:jc w:val="right"/>
            </w:pPr>
            <w:r w:rsidRPr="00BC5284">
              <w:rPr>
                <w:sz w:val="14"/>
                <w:szCs w:val="14"/>
              </w:rPr>
              <w:t>307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3670CC9" w14:textId="77777777" w:rsidR="00855241" w:rsidRPr="00BC5284" w:rsidRDefault="00855241">
            <w:pPr>
              <w:pStyle w:val="TableTextStocktake"/>
              <w:jc w:val="right"/>
            </w:pPr>
            <w:r w:rsidRPr="00BC5284">
              <w:rPr>
                <w:sz w:val="14"/>
                <w:szCs w:val="14"/>
              </w:rPr>
              <w:t>6,893</w:t>
            </w:r>
          </w:p>
        </w:tc>
      </w:tr>
      <w:tr w:rsidR="00855241" w:rsidRPr="00BC5284" w14:paraId="2FF43B3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E81BE0" w14:textId="77777777" w:rsidR="00855241" w:rsidRPr="00BC5284" w:rsidRDefault="00855241">
            <w:pPr>
              <w:pStyle w:val="TableTextStocktake"/>
            </w:pPr>
            <w:r w:rsidRPr="00BC5284">
              <w:rPr>
                <w:sz w:val="14"/>
                <w:szCs w:val="14"/>
              </w:rPr>
              <w:t>Horsham (RC)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8244A1"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8FAFD4" w14:textId="77777777" w:rsidR="00855241" w:rsidRPr="00BC5284" w:rsidRDefault="00855241">
            <w:pPr>
              <w:pStyle w:val="TableTextStocktake"/>
              <w:jc w:val="right"/>
            </w:pPr>
            <w:r w:rsidRPr="00BC5284">
              <w:rPr>
                <w:sz w:val="14"/>
                <w:szCs w:val="14"/>
              </w:rPr>
              <w:t>4,267</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591B9A" w14:textId="77777777" w:rsidR="00855241" w:rsidRPr="00BC5284" w:rsidRDefault="00855241">
            <w:pPr>
              <w:pStyle w:val="TableTextStocktake"/>
              <w:jc w:val="right"/>
            </w:pPr>
            <w:r w:rsidRPr="00BC5284">
              <w:rPr>
                <w:sz w:val="14"/>
                <w:szCs w:val="14"/>
              </w:rPr>
              <w:t>19,875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84B6A4" w14:textId="77777777" w:rsidR="00855241" w:rsidRPr="00BC5284" w:rsidRDefault="00855241">
            <w:pPr>
              <w:pStyle w:val="TableTextStocktake"/>
              <w:jc w:val="right"/>
            </w:pPr>
            <w:r w:rsidRPr="00BC5284">
              <w:rPr>
                <w:sz w:val="14"/>
                <w:szCs w:val="14"/>
              </w:rPr>
              <w:t>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5F874C" w14:textId="77777777" w:rsidR="00855241" w:rsidRPr="00BC5284" w:rsidRDefault="00855241">
            <w:pPr>
              <w:pStyle w:val="TableTextStocktake"/>
              <w:jc w:val="right"/>
            </w:pPr>
            <w:r w:rsidRPr="00BC5284">
              <w:rPr>
                <w:sz w:val="14"/>
                <w:szCs w:val="14"/>
              </w:rPr>
              <w:t>21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D640A8" w14:textId="77777777" w:rsidR="00855241" w:rsidRPr="00BC5284" w:rsidRDefault="00855241">
            <w:pPr>
              <w:pStyle w:val="TableTextStocktake"/>
              <w:jc w:val="right"/>
            </w:pPr>
            <w:r w:rsidRPr="00BC5284">
              <w:rPr>
                <w:sz w:val="14"/>
                <w:szCs w:val="14"/>
              </w:rPr>
              <w:t>27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7B42E6"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C2518A" w14:textId="77777777" w:rsidR="00855241" w:rsidRPr="00BC5284" w:rsidRDefault="00855241">
            <w:pPr>
              <w:pStyle w:val="TableTextStocktake"/>
              <w:jc w:val="right"/>
            </w:pPr>
            <w:r w:rsidRPr="00BC5284">
              <w:rPr>
                <w:sz w:val="14"/>
                <w:szCs w:val="14"/>
              </w:rPr>
              <w:t>27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DBEE8C2" w14:textId="77777777" w:rsidR="00855241" w:rsidRPr="00BC5284" w:rsidRDefault="00855241">
            <w:pPr>
              <w:pStyle w:val="TableTextStocktake"/>
              <w:jc w:val="right"/>
            </w:pPr>
            <w:r w:rsidRPr="00BC5284">
              <w:rPr>
                <w:sz w:val="14"/>
                <w:szCs w:val="14"/>
              </w:rPr>
              <w:t>52</w:t>
            </w:r>
          </w:p>
        </w:tc>
      </w:tr>
      <w:tr w:rsidR="00855241" w:rsidRPr="00BC5284" w14:paraId="50558F5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904D33" w14:textId="77777777" w:rsidR="00855241" w:rsidRPr="00BC5284" w:rsidRDefault="00855241">
            <w:pPr>
              <w:pStyle w:val="TableTextStocktake"/>
            </w:pPr>
            <w:r w:rsidRPr="00BC5284">
              <w:rPr>
                <w:sz w:val="14"/>
                <w:szCs w:val="14"/>
              </w:rPr>
              <w:t>Hume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EE7B6B"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015BD7" w14:textId="77777777" w:rsidR="00855241" w:rsidRPr="00BC5284" w:rsidRDefault="00855241">
            <w:pPr>
              <w:pStyle w:val="TableTextStocktake"/>
              <w:jc w:val="right"/>
            </w:pPr>
            <w:r w:rsidRPr="00BC5284">
              <w:rPr>
                <w:sz w:val="14"/>
                <w:szCs w:val="14"/>
              </w:rPr>
              <w:t>504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2D01C6" w14:textId="77777777" w:rsidR="00855241" w:rsidRPr="00BC5284" w:rsidRDefault="00855241">
            <w:pPr>
              <w:pStyle w:val="TableTextStocktake"/>
              <w:jc w:val="right"/>
            </w:pPr>
            <w:r w:rsidRPr="00BC5284">
              <w:rPr>
                <w:sz w:val="14"/>
                <w:szCs w:val="14"/>
              </w:rPr>
              <w:t>224,394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A9EB63" w14:textId="77777777" w:rsidR="00855241" w:rsidRPr="00BC5284" w:rsidRDefault="00855241">
            <w:pPr>
              <w:pStyle w:val="TableTextStocktake"/>
              <w:jc w:val="right"/>
            </w:pPr>
            <w:r w:rsidRPr="00BC5284">
              <w:rPr>
                <w:sz w:val="14"/>
                <w:szCs w:val="14"/>
              </w:rPr>
              <w:t>18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B8025E" w14:textId="77777777" w:rsidR="00855241" w:rsidRPr="00BC5284" w:rsidRDefault="00855241">
            <w:pPr>
              <w:pStyle w:val="TableTextStocktake"/>
              <w:jc w:val="right"/>
            </w:pPr>
            <w:r w:rsidRPr="00BC5284">
              <w:rPr>
                <w:sz w:val="14"/>
                <w:szCs w:val="14"/>
              </w:rPr>
              <w:t>177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3F9BFA" w14:textId="77777777" w:rsidR="00855241" w:rsidRPr="00BC5284" w:rsidRDefault="00855241">
            <w:pPr>
              <w:pStyle w:val="TableTextStocktake"/>
              <w:jc w:val="right"/>
            </w:pPr>
            <w:r w:rsidRPr="00BC5284">
              <w:rPr>
                <w:sz w:val="14"/>
                <w:szCs w:val="14"/>
              </w:rPr>
              <w:t>195</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4F98C4"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A473F6" w14:textId="77777777" w:rsidR="00855241" w:rsidRPr="00BC5284" w:rsidRDefault="00855241">
            <w:pPr>
              <w:pStyle w:val="TableTextStocktake"/>
              <w:jc w:val="right"/>
            </w:pPr>
            <w:r w:rsidRPr="00BC5284">
              <w:rPr>
                <w:sz w:val="14"/>
                <w:szCs w:val="14"/>
              </w:rPr>
              <w:t>196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3019F9F" w14:textId="77777777" w:rsidR="00855241" w:rsidRPr="00BC5284" w:rsidRDefault="00855241">
            <w:pPr>
              <w:pStyle w:val="TableTextStocktake"/>
              <w:jc w:val="right"/>
            </w:pPr>
            <w:r w:rsidRPr="00BC5284">
              <w:rPr>
                <w:sz w:val="14"/>
                <w:szCs w:val="14"/>
              </w:rPr>
              <w:t>400</w:t>
            </w:r>
          </w:p>
        </w:tc>
      </w:tr>
      <w:tr w:rsidR="00855241" w:rsidRPr="00BC5284" w14:paraId="19DCB88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682097" w14:textId="77777777" w:rsidR="00855241" w:rsidRPr="00BC5284" w:rsidRDefault="00855241">
            <w:pPr>
              <w:pStyle w:val="TableTextStocktake"/>
            </w:pPr>
            <w:r w:rsidRPr="00BC5284">
              <w:rPr>
                <w:sz w:val="14"/>
                <w:szCs w:val="14"/>
              </w:rPr>
              <w:lastRenderedPageBreak/>
              <w:t>Indigo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B73EF6"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F731D0" w14:textId="77777777" w:rsidR="00855241" w:rsidRPr="00BC5284" w:rsidRDefault="00855241">
            <w:pPr>
              <w:pStyle w:val="TableTextStocktake"/>
              <w:jc w:val="right"/>
            </w:pPr>
            <w:r w:rsidRPr="00BC5284">
              <w:rPr>
                <w:sz w:val="14"/>
                <w:szCs w:val="14"/>
              </w:rPr>
              <w:t>2,040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3EFF96" w14:textId="77777777" w:rsidR="00855241" w:rsidRPr="00BC5284" w:rsidRDefault="00855241">
            <w:pPr>
              <w:pStyle w:val="TableTextStocktake"/>
              <w:jc w:val="right"/>
            </w:pPr>
            <w:r w:rsidRPr="00BC5284">
              <w:rPr>
                <w:sz w:val="14"/>
                <w:szCs w:val="14"/>
              </w:rPr>
              <w:t>16,490</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DFDD41" w14:textId="77777777" w:rsidR="00855241" w:rsidRPr="00BC5284" w:rsidRDefault="00855241">
            <w:pPr>
              <w:pStyle w:val="TableTextStocktake"/>
              <w:jc w:val="right"/>
            </w:pPr>
            <w:r w:rsidRPr="00BC5284">
              <w:rPr>
                <w:sz w:val="14"/>
                <w:szCs w:val="14"/>
              </w:rPr>
              <w:t>48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A37F68E" w14:textId="77777777" w:rsidR="00855241" w:rsidRPr="00BC5284" w:rsidRDefault="00855241">
            <w:pPr>
              <w:pStyle w:val="TableTextStocktake"/>
              <w:jc w:val="right"/>
            </w:pPr>
            <w:r w:rsidRPr="00BC5284">
              <w:rPr>
                <w:sz w:val="14"/>
                <w:szCs w:val="14"/>
              </w:rPr>
              <w:t>679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FA8DCF" w14:textId="77777777" w:rsidR="00855241" w:rsidRPr="00BC5284" w:rsidRDefault="00855241">
            <w:pPr>
              <w:pStyle w:val="TableTextStocktake"/>
              <w:jc w:val="right"/>
            </w:pPr>
            <w:r w:rsidRPr="00BC5284">
              <w:rPr>
                <w:sz w:val="14"/>
                <w:szCs w:val="14"/>
              </w:rPr>
              <w:t>727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1F3171" w14:textId="77777777" w:rsidR="00855241" w:rsidRPr="00BC5284" w:rsidRDefault="00855241">
            <w:pPr>
              <w:pStyle w:val="TableTextStocktake"/>
              <w:jc w:val="right"/>
            </w:pPr>
            <w:r w:rsidRPr="00BC5284">
              <w:rPr>
                <w:sz w:val="14"/>
                <w:szCs w:val="14"/>
              </w:rPr>
              <w:t>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B87D78" w14:textId="77777777" w:rsidR="00855241" w:rsidRPr="00BC5284" w:rsidRDefault="00855241">
            <w:pPr>
              <w:pStyle w:val="TableTextStocktake"/>
              <w:jc w:val="right"/>
            </w:pPr>
            <w:r w:rsidRPr="00BC5284">
              <w:rPr>
                <w:sz w:val="14"/>
                <w:szCs w:val="14"/>
              </w:rPr>
              <w:t>730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5B207AA" w14:textId="77777777" w:rsidR="00855241" w:rsidRPr="00BC5284" w:rsidRDefault="00855241">
            <w:pPr>
              <w:pStyle w:val="TableTextStocktake"/>
              <w:jc w:val="right"/>
            </w:pPr>
            <w:r w:rsidRPr="00BC5284">
              <w:rPr>
                <w:sz w:val="14"/>
                <w:szCs w:val="14"/>
              </w:rPr>
              <w:t>1,566</w:t>
            </w:r>
          </w:p>
        </w:tc>
      </w:tr>
      <w:tr w:rsidR="00855241" w:rsidRPr="00BC5284" w14:paraId="152097E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A026F4" w14:textId="77777777" w:rsidR="00855241" w:rsidRPr="00BC5284" w:rsidRDefault="00855241">
            <w:pPr>
              <w:pStyle w:val="TableTextStocktake"/>
            </w:pPr>
            <w:r w:rsidRPr="00BC5284">
              <w:rPr>
                <w:sz w:val="14"/>
                <w:szCs w:val="14"/>
              </w:rPr>
              <w:t>Kingston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03278B"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10F594" w14:textId="77777777" w:rsidR="00855241" w:rsidRPr="00BC5284" w:rsidRDefault="00855241">
            <w:pPr>
              <w:pStyle w:val="TableTextStocktake"/>
              <w:jc w:val="right"/>
            </w:pPr>
            <w:r w:rsidRPr="00BC5284">
              <w:rPr>
                <w:sz w:val="14"/>
                <w:szCs w:val="14"/>
              </w:rPr>
              <w:t>91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AA3928" w14:textId="77777777" w:rsidR="00855241" w:rsidRPr="00BC5284" w:rsidRDefault="00855241">
            <w:pPr>
              <w:pStyle w:val="TableTextStocktake"/>
              <w:jc w:val="right"/>
            </w:pPr>
            <w:r w:rsidRPr="00BC5284">
              <w:rPr>
                <w:sz w:val="14"/>
                <w:szCs w:val="14"/>
              </w:rPr>
              <w:t>163,431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5FA040"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93A6AA" w14:textId="77777777" w:rsidR="00855241" w:rsidRPr="00BC5284" w:rsidRDefault="00855241">
            <w:pPr>
              <w:pStyle w:val="TableTextStocktake"/>
              <w:jc w:val="right"/>
            </w:pPr>
            <w:r w:rsidRPr="00BC5284">
              <w:rPr>
                <w:sz w:val="14"/>
                <w:szCs w:val="14"/>
              </w:rPr>
              <w:t>109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6DCBDB" w14:textId="77777777" w:rsidR="00855241" w:rsidRPr="00BC5284" w:rsidRDefault="00855241">
            <w:pPr>
              <w:pStyle w:val="TableTextStocktake"/>
              <w:jc w:val="right"/>
            </w:pPr>
            <w:r w:rsidRPr="00BC5284">
              <w:rPr>
                <w:sz w:val="14"/>
                <w:szCs w:val="14"/>
              </w:rPr>
              <w:t>116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327364" w14:textId="77777777" w:rsidR="00855241" w:rsidRPr="00BC5284" w:rsidRDefault="00855241">
            <w:pPr>
              <w:pStyle w:val="TableTextStocktake"/>
              <w:jc w:val="right"/>
            </w:pPr>
            <w:r w:rsidRPr="00BC5284">
              <w:rPr>
                <w:sz w:val="14"/>
                <w:szCs w:val="14"/>
              </w:rPr>
              <w:t>6</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818D35" w14:textId="77777777" w:rsidR="00855241" w:rsidRPr="00BC5284" w:rsidRDefault="00855241">
            <w:pPr>
              <w:pStyle w:val="TableTextStocktake"/>
              <w:jc w:val="right"/>
            </w:pPr>
            <w:r w:rsidRPr="00BC5284">
              <w:rPr>
                <w:sz w:val="14"/>
                <w:szCs w:val="14"/>
              </w:rPr>
              <w:t>122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01307D7" w14:textId="77777777" w:rsidR="00855241" w:rsidRPr="00BC5284" w:rsidRDefault="00855241">
            <w:pPr>
              <w:pStyle w:val="TableTextStocktake"/>
              <w:jc w:val="right"/>
            </w:pPr>
            <w:r w:rsidRPr="00BC5284">
              <w:rPr>
                <w:sz w:val="14"/>
                <w:szCs w:val="14"/>
              </w:rPr>
              <w:t>455</w:t>
            </w:r>
          </w:p>
        </w:tc>
      </w:tr>
      <w:tr w:rsidR="00855241" w:rsidRPr="00BC5284" w14:paraId="785EFCFE"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712A41" w14:textId="77777777" w:rsidR="00855241" w:rsidRPr="00BC5284" w:rsidRDefault="00855241">
            <w:pPr>
              <w:pStyle w:val="TableTextStocktake"/>
            </w:pPr>
            <w:r w:rsidRPr="00BC5284">
              <w:rPr>
                <w:sz w:val="14"/>
                <w:szCs w:val="14"/>
              </w:rPr>
              <w:t>Knox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6EBA34"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EA5EBF" w14:textId="77777777" w:rsidR="00855241" w:rsidRPr="00BC5284" w:rsidRDefault="00855241">
            <w:pPr>
              <w:pStyle w:val="TableTextStocktake"/>
              <w:jc w:val="right"/>
            </w:pPr>
            <w:r w:rsidRPr="00BC5284">
              <w:rPr>
                <w:sz w:val="14"/>
                <w:szCs w:val="14"/>
              </w:rPr>
              <w:t>114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4170A0" w14:textId="77777777" w:rsidR="00855241" w:rsidRPr="00BC5284" w:rsidRDefault="00855241">
            <w:pPr>
              <w:pStyle w:val="TableTextStocktake"/>
              <w:jc w:val="right"/>
            </w:pPr>
            <w:r w:rsidRPr="00BC5284">
              <w:rPr>
                <w:sz w:val="14"/>
                <w:szCs w:val="14"/>
              </w:rPr>
              <w:t>163,203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8A5630" w14:textId="77777777" w:rsidR="00855241" w:rsidRPr="00BC5284" w:rsidRDefault="00855241">
            <w:pPr>
              <w:pStyle w:val="TableTextStocktake"/>
              <w:jc w:val="right"/>
            </w:pPr>
            <w:r w:rsidRPr="00BC5284">
              <w:rPr>
                <w:sz w:val="14"/>
                <w:szCs w:val="14"/>
              </w:rPr>
              <w:t>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191B6B" w14:textId="77777777" w:rsidR="00855241" w:rsidRPr="00BC5284" w:rsidRDefault="00855241">
            <w:pPr>
              <w:pStyle w:val="TableTextStocktake"/>
              <w:jc w:val="right"/>
            </w:pPr>
            <w:r w:rsidRPr="00BC5284">
              <w:rPr>
                <w:sz w:val="14"/>
                <w:szCs w:val="14"/>
              </w:rPr>
              <w:t>48</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3DC99D" w14:textId="77777777" w:rsidR="00855241" w:rsidRPr="00BC5284" w:rsidRDefault="00855241">
            <w:pPr>
              <w:pStyle w:val="TableTextStocktake"/>
              <w:jc w:val="right"/>
            </w:pPr>
            <w:r w:rsidRPr="00BC5284">
              <w:rPr>
                <w:sz w:val="14"/>
                <w:szCs w:val="14"/>
              </w:rPr>
              <w:t>50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6C5B89"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0065E6" w14:textId="77777777" w:rsidR="00855241" w:rsidRPr="00BC5284" w:rsidRDefault="00855241">
            <w:pPr>
              <w:pStyle w:val="TableTextStocktake"/>
              <w:jc w:val="right"/>
            </w:pPr>
            <w:r w:rsidRPr="00BC5284">
              <w:rPr>
                <w:sz w:val="14"/>
                <w:szCs w:val="14"/>
              </w:rPr>
              <w:t>50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251D4D6" w14:textId="77777777" w:rsidR="00855241" w:rsidRPr="00BC5284" w:rsidRDefault="00855241">
            <w:pPr>
              <w:pStyle w:val="TableTextStocktake"/>
              <w:jc w:val="right"/>
            </w:pPr>
            <w:r w:rsidRPr="00BC5284">
              <w:rPr>
                <w:sz w:val="14"/>
                <w:szCs w:val="14"/>
              </w:rPr>
              <w:t>105</w:t>
            </w:r>
          </w:p>
        </w:tc>
      </w:tr>
      <w:tr w:rsidR="00855241" w:rsidRPr="00BC5284" w14:paraId="20C180F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1C81A6" w14:textId="77777777" w:rsidR="00855241" w:rsidRPr="00BC5284" w:rsidRDefault="00855241">
            <w:pPr>
              <w:pStyle w:val="TableTextStocktake"/>
            </w:pPr>
            <w:r w:rsidRPr="00BC5284">
              <w:rPr>
                <w:sz w:val="14"/>
                <w:szCs w:val="14"/>
              </w:rPr>
              <w:t>Latrobe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A6B45E"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6245C1" w14:textId="77777777" w:rsidR="00855241" w:rsidRPr="00BC5284" w:rsidRDefault="00855241">
            <w:pPr>
              <w:pStyle w:val="TableTextStocktake"/>
              <w:jc w:val="right"/>
            </w:pPr>
            <w:r w:rsidRPr="00BC5284">
              <w:rPr>
                <w:sz w:val="14"/>
                <w:szCs w:val="14"/>
              </w:rPr>
              <w:t>1,426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1ABB27" w14:textId="77777777" w:rsidR="00855241" w:rsidRPr="00BC5284" w:rsidRDefault="00855241">
            <w:pPr>
              <w:pStyle w:val="TableTextStocktake"/>
              <w:jc w:val="right"/>
            </w:pPr>
            <w:r w:rsidRPr="00BC5284">
              <w:rPr>
                <w:sz w:val="14"/>
                <w:szCs w:val="14"/>
              </w:rPr>
              <w:t>75,211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8AB04B" w14:textId="77777777" w:rsidR="00855241" w:rsidRPr="00BC5284" w:rsidRDefault="00855241">
            <w:pPr>
              <w:pStyle w:val="TableTextStocktake"/>
              <w:jc w:val="right"/>
            </w:pPr>
            <w:r w:rsidRPr="00BC5284">
              <w:rPr>
                <w:sz w:val="14"/>
                <w:szCs w:val="14"/>
              </w:rPr>
              <w:t>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9A0104" w14:textId="77777777" w:rsidR="00855241" w:rsidRPr="00BC5284" w:rsidRDefault="00855241">
            <w:pPr>
              <w:pStyle w:val="TableTextStocktake"/>
              <w:jc w:val="right"/>
            </w:pPr>
            <w:r w:rsidRPr="00BC5284">
              <w:rPr>
                <w:sz w:val="14"/>
                <w:szCs w:val="14"/>
              </w:rPr>
              <w:t>130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25D323" w14:textId="77777777" w:rsidR="00855241" w:rsidRPr="00BC5284" w:rsidRDefault="00855241">
            <w:pPr>
              <w:pStyle w:val="TableTextStocktake"/>
              <w:jc w:val="right"/>
            </w:pPr>
            <w:r w:rsidRPr="00BC5284">
              <w:rPr>
                <w:sz w:val="14"/>
                <w:szCs w:val="14"/>
              </w:rPr>
              <w:t>138</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21DA01"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B52E9B" w14:textId="77777777" w:rsidR="00855241" w:rsidRPr="00BC5284" w:rsidRDefault="00855241">
            <w:pPr>
              <w:pStyle w:val="TableTextStocktake"/>
              <w:jc w:val="right"/>
            </w:pPr>
            <w:r w:rsidRPr="00BC5284">
              <w:rPr>
                <w:sz w:val="14"/>
                <w:szCs w:val="14"/>
              </w:rPr>
              <w:t>150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8C9CCC5" w14:textId="77777777" w:rsidR="00855241" w:rsidRPr="00BC5284" w:rsidRDefault="00855241">
            <w:pPr>
              <w:pStyle w:val="TableTextStocktake"/>
              <w:jc w:val="right"/>
            </w:pPr>
            <w:r w:rsidRPr="00BC5284">
              <w:rPr>
                <w:sz w:val="14"/>
                <w:szCs w:val="14"/>
              </w:rPr>
              <w:t>417</w:t>
            </w:r>
          </w:p>
        </w:tc>
      </w:tr>
      <w:tr w:rsidR="00855241" w:rsidRPr="00BC5284" w14:paraId="0922292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7CCCE2" w14:textId="77777777" w:rsidR="00855241" w:rsidRPr="00BC5284" w:rsidRDefault="00855241">
            <w:pPr>
              <w:pStyle w:val="TableTextStocktake"/>
            </w:pPr>
            <w:r w:rsidRPr="00BC5284">
              <w:rPr>
                <w:sz w:val="14"/>
                <w:szCs w:val="14"/>
              </w:rPr>
              <w:t>Loddon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CCD570"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2513A3" w14:textId="77777777" w:rsidR="00855241" w:rsidRPr="00BC5284" w:rsidRDefault="00855241">
            <w:pPr>
              <w:pStyle w:val="TableTextStocktake"/>
              <w:jc w:val="right"/>
            </w:pPr>
            <w:r w:rsidRPr="00BC5284">
              <w:rPr>
                <w:sz w:val="14"/>
                <w:szCs w:val="14"/>
              </w:rPr>
              <w:t>6,696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6F27EA" w14:textId="77777777" w:rsidR="00855241" w:rsidRPr="00BC5284" w:rsidRDefault="00855241">
            <w:pPr>
              <w:pStyle w:val="TableTextStocktake"/>
              <w:jc w:val="right"/>
            </w:pPr>
            <w:r w:rsidRPr="00BC5284">
              <w:rPr>
                <w:sz w:val="14"/>
                <w:szCs w:val="14"/>
              </w:rPr>
              <w:t>7,513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5AEB5C" w14:textId="77777777" w:rsidR="00855241" w:rsidRPr="00BC5284" w:rsidRDefault="00855241">
            <w:pPr>
              <w:pStyle w:val="TableTextStocktake"/>
              <w:jc w:val="right"/>
            </w:pPr>
            <w:r w:rsidRPr="00BC5284">
              <w:rPr>
                <w:sz w:val="14"/>
                <w:szCs w:val="14"/>
              </w:rPr>
              <w:t>13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0420D6" w14:textId="77777777" w:rsidR="00855241" w:rsidRPr="00BC5284" w:rsidRDefault="00855241">
            <w:pPr>
              <w:pStyle w:val="TableTextStocktake"/>
              <w:jc w:val="right"/>
            </w:pPr>
            <w:r w:rsidRPr="00BC5284">
              <w:rPr>
                <w:sz w:val="14"/>
                <w:szCs w:val="14"/>
              </w:rPr>
              <w:t>270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6C7840" w14:textId="77777777" w:rsidR="00855241" w:rsidRPr="00BC5284" w:rsidRDefault="00855241">
            <w:pPr>
              <w:pStyle w:val="TableTextStocktake"/>
              <w:jc w:val="right"/>
            </w:pPr>
            <w:r w:rsidRPr="00BC5284">
              <w:rPr>
                <w:sz w:val="14"/>
                <w:szCs w:val="14"/>
              </w:rPr>
              <w:t>283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4E062A"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4F6E13" w14:textId="77777777" w:rsidR="00855241" w:rsidRPr="00BC5284" w:rsidRDefault="00855241">
            <w:pPr>
              <w:pStyle w:val="TableTextStocktake"/>
              <w:jc w:val="right"/>
            </w:pPr>
            <w:r w:rsidRPr="00BC5284">
              <w:rPr>
                <w:sz w:val="14"/>
                <w:szCs w:val="14"/>
              </w:rPr>
              <w:t>283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B3E8932" w14:textId="77777777" w:rsidR="00855241" w:rsidRPr="00BC5284" w:rsidRDefault="00855241">
            <w:pPr>
              <w:pStyle w:val="TableTextStocktake"/>
              <w:jc w:val="right"/>
            </w:pPr>
            <w:r w:rsidRPr="00BC5284">
              <w:rPr>
                <w:sz w:val="14"/>
                <w:szCs w:val="14"/>
              </w:rPr>
              <w:t>666</w:t>
            </w:r>
          </w:p>
        </w:tc>
      </w:tr>
      <w:tr w:rsidR="00855241" w:rsidRPr="00BC5284" w14:paraId="2504E2B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912C15" w14:textId="77777777" w:rsidR="00855241" w:rsidRPr="00BC5284" w:rsidRDefault="00855241">
            <w:pPr>
              <w:pStyle w:val="TableTextStocktake"/>
            </w:pPr>
            <w:r w:rsidRPr="00BC5284">
              <w:rPr>
                <w:sz w:val="14"/>
                <w:szCs w:val="14"/>
              </w:rPr>
              <w:t>Macedon Ranges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5511F3"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9E558B" w14:textId="77777777" w:rsidR="00855241" w:rsidRPr="00BC5284" w:rsidRDefault="00855241">
            <w:pPr>
              <w:pStyle w:val="TableTextStocktake"/>
              <w:jc w:val="right"/>
            </w:pPr>
            <w:r w:rsidRPr="00BC5284">
              <w:rPr>
                <w:sz w:val="14"/>
                <w:szCs w:val="14"/>
              </w:rPr>
              <w:t>1,748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448D2A" w14:textId="77777777" w:rsidR="00855241" w:rsidRPr="00BC5284" w:rsidRDefault="00855241">
            <w:pPr>
              <w:pStyle w:val="TableTextStocktake"/>
              <w:jc w:val="right"/>
            </w:pPr>
            <w:r w:rsidRPr="00BC5284">
              <w:rPr>
                <w:sz w:val="14"/>
                <w:szCs w:val="14"/>
              </w:rPr>
              <w:t>49,388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E84BAB" w14:textId="77777777" w:rsidR="00855241" w:rsidRPr="00BC5284" w:rsidRDefault="00855241">
            <w:pPr>
              <w:pStyle w:val="TableTextStocktake"/>
              <w:jc w:val="right"/>
            </w:pPr>
            <w:r w:rsidRPr="00BC5284">
              <w:rPr>
                <w:sz w:val="14"/>
                <w:szCs w:val="14"/>
              </w:rPr>
              <w:t>48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AB9692" w14:textId="77777777" w:rsidR="00855241" w:rsidRPr="00BC5284" w:rsidRDefault="00855241">
            <w:pPr>
              <w:pStyle w:val="TableTextStocktake"/>
              <w:jc w:val="right"/>
            </w:pPr>
            <w:r w:rsidRPr="00BC5284">
              <w:rPr>
                <w:sz w:val="14"/>
                <w:szCs w:val="14"/>
              </w:rPr>
              <w:t>250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BC2266" w14:textId="77777777" w:rsidR="00855241" w:rsidRPr="00BC5284" w:rsidRDefault="00855241">
            <w:pPr>
              <w:pStyle w:val="TableTextStocktake"/>
              <w:jc w:val="right"/>
            </w:pPr>
            <w:r w:rsidRPr="00BC5284">
              <w:rPr>
                <w:sz w:val="14"/>
                <w:szCs w:val="14"/>
              </w:rPr>
              <w:t>298</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808835"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F63B56" w14:textId="77777777" w:rsidR="00855241" w:rsidRPr="00BC5284" w:rsidRDefault="00855241">
            <w:pPr>
              <w:pStyle w:val="TableTextStocktake"/>
              <w:jc w:val="right"/>
            </w:pPr>
            <w:r w:rsidRPr="00BC5284">
              <w:rPr>
                <w:sz w:val="14"/>
                <w:szCs w:val="14"/>
              </w:rPr>
              <w:t>310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64F232B" w14:textId="77777777" w:rsidR="00855241" w:rsidRPr="00BC5284" w:rsidRDefault="00855241">
            <w:pPr>
              <w:pStyle w:val="TableTextStocktake"/>
              <w:jc w:val="right"/>
            </w:pPr>
            <w:r w:rsidRPr="00BC5284">
              <w:rPr>
                <w:sz w:val="14"/>
                <w:szCs w:val="14"/>
              </w:rPr>
              <w:t>1,707</w:t>
            </w:r>
          </w:p>
        </w:tc>
      </w:tr>
      <w:tr w:rsidR="00855241" w:rsidRPr="00BC5284" w14:paraId="641B67B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797160" w14:textId="77777777" w:rsidR="00855241" w:rsidRPr="00BC5284" w:rsidRDefault="00855241">
            <w:pPr>
              <w:pStyle w:val="TableTextStocktake"/>
            </w:pPr>
            <w:r w:rsidRPr="00BC5284">
              <w:rPr>
                <w:sz w:val="14"/>
                <w:szCs w:val="14"/>
              </w:rPr>
              <w:t>Manningham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FF37E2"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0FA1EF" w14:textId="77777777" w:rsidR="00855241" w:rsidRPr="00BC5284" w:rsidRDefault="00855241">
            <w:pPr>
              <w:pStyle w:val="TableTextStocktake"/>
              <w:jc w:val="right"/>
            </w:pPr>
            <w:r w:rsidRPr="00BC5284">
              <w:rPr>
                <w:sz w:val="14"/>
                <w:szCs w:val="14"/>
              </w:rPr>
              <w:t>113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C41694" w14:textId="77777777" w:rsidR="00855241" w:rsidRPr="00BC5284" w:rsidRDefault="00855241">
            <w:pPr>
              <w:pStyle w:val="TableTextStocktake"/>
              <w:jc w:val="right"/>
            </w:pPr>
            <w:r w:rsidRPr="00BC5284">
              <w:rPr>
                <w:sz w:val="14"/>
                <w:szCs w:val="14"/>
              </w:rPr>
              <w:t>125,508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A313EB" w14:textId="77777777" w:rsidR="00855241" w:rsidRPr="00BC5284" w:rsidRDefault="00855241">
            <w:pPr>
              <w:pStyle w:val="TableTextStocktake"/>
              <w:jc w:val="right"/>
            </w:pPr>
            <w:r w:rsidRPr="00BC5284">
              <w:rPr>
                <w:sz w:val="14"/>
                <w:szCs w:val="14"/>
              </w:rPr>
              <w:t>11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3FE46E" w14:textId="77777777" w:rsidR="00855241" w:rsidRPr="00BC5284" w:rsidRDefault="00855241">
            <w:pPr>
              <w:pStyle w:val="TableTextStocktake"/>
              <w:jc w:val="right"/>
            </w:pPr>
            <w:r w:rsidRPr="00BC5284">
              <w:rPr>
                <w:sz w:val="14"/>
                <w:szCs w:val="14"/>
              </w:rPr>
              <w:t>185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2B236E" w14:textId="77777777" w:rsidR="00855241" w:rsidRPr="00BC5284" w:rsidRDefault="00855241">
            <w:pPr>
              <w:pStyle w:val="TableTextStocktake"/>
              <w:jc w:val="right"/>
            </w:pPr>
            <w:r w:rsidRPr="00BC5284">
              <w:rPr>
                <w:sz w:val="14"/>
                <w:szCs w:val="14"/>
              </w:rPr>
              <w:t>196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FB1A24" w14:textId="77777777" w:rsidR="00855241" w:rsidRPr="00BC5284" w:rsidRDefault="00855241">
            <w:pPr>
              <w:pStyle w:val="TableTextStocktake"/>
              <w:jc w:val="right"/>
            </w:pPr>
            <w:r w:rsidRPr="00BC5284">
              <w:rPr>
                <w:sz w:val="14"/>
                <w:szCs w:val="14"/>
              </w:rPr>
              <w:t>9</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268F21" w14:textId="77777777" w:rsidR="00855241" w:rsidRPr="00BC5284" w:rsidRDefault="00855241">
            <w:pPr>
              <w:pStyle w:val="TableTextStocktake"/>
              <w:jc w:val="right"/>
            </w:pPr>
            <w:r w:rsidRPr="00BC5284">
              <w:rPr>
                <w:sz w:val="14"/>
                <w:szCs w:val="14"/>
              </w:rPr>
              <w:t>205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D4D935F" w14:textId="77777777" w:rsidR="00855241" w:rsidRPr="00BC5284" w:rsidRDefault="00855241">
            <w:pPr>
              <w:pStyle w:val="TableTextStocktake"/>
              <w:jc w:val="right"/>
            </w:pPr>
            <w:r w:rsidRPr="00BC5284">
              <w:rPr>
                <w:sz w:val="14"/>
                <w:szCs w:val="14"/>
              </w:rPr>
              <w:t>679</w:t>
            </w:r>
          </w:p>
        </w:tc>
      </w:tr>
      <w:tr w:rsidR="00855241" w:rsidRPr="00BC5284" w14:paraId="785EF2A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65FCBF" w14:textId="77777777" w:rsidR="00855241" w:rsidRPr="00BC5284" w:rsidRDefault="00855241">
            <w:pPr>
              <w:pStyle w:val="TableTextStocktake"/>
            </w:pPr>
            <w:r w:rsidRPr="00BC5284">
              <w:rPr>
                <w:sz w:val="14"/>
                <w:szCs w:val="14"/>
              </w:rPr>
              <w:t>Mansfield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9DE024"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AC73C3" w14:textId="77777777" w:rsidR="00855241" w:rsidRPr="00BC5284" w:rsidRDefault="00855241">
            <w:pPr>
              <w:pStyle w:val="TableTextStocktake"/>
              <w:jc w:val="right"/>
            </w:pPr>
            <w:r w:rsidRPr="00BC5284">
              <w:rPr>
                <w:sz w:val="14"/>
                <w:szCs w:val="14"/>
              </w:rPr>
              <w:t>3,844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E1B989" w14:textId="77777777" w:rsidR="00855241" w:rsidRPr="00BC5284" w:rsidRDefault="00855241">
            <w:pPr>
              <w:pStyle w:val="TableTextStocktake"/>
              <w:jc w:val="right"/>
            </w:pPr>
            <w:r w:rsidRPr="00BC5284">
              <w:rPr>
                <w:sz w:val="14"/>
                <w:szCs w:val="14"/>
              </w:rPr>
              <w:t>8,979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97915E" w14:textId="77777777" w:rsidR="00855241" w:rsidRPr="00BC5284" w:rsidRDefault="00855241">
            <w:pPr>
              <w:pStyle w:val="TableTextStocktake"/>
              <w:jc w:val="right"/>
            </w:pPr>
            <w:r w:rsidRPr="00BC5284">
              <w:rPr>
                <w:sz w:val="14"/>
                <w:szCs w:val="14"/>
              </w:rPr>
              <w:t>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B07966" w14:textId="77777777" w:rsidR="00855241" w:rsidRPr="00BC5284" w:rsidRDefault="00855241">
            <w:pPr>
              <w:pStyle w:val="TableTextStocktake"/>
              <w:jc w:val="right"/>
            </w:pPr>
            <w:r w:rsidRPr="00BC5284">
              <w:rPr>
                <w:sz w:val="14"/>
                <w:szCs w:val="14"/>
              </w:rPr>
              <w:t>53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2E0503" w14:textId="77777777" w:rsidR="00855241" w:rsidRPr="00BC5284" w:rsidRDefault="00855241">
            <w:pPr>
              <w:pStyle w:val="TableTextStocktake"/>
              <w:jc w:val="right"/>
            </w:pPr>
            <w:r w:rsidRPr="00BC5284">
              <w:rPr>
                <w:sz w:val="14"/>
                <w:szCs w:val="14"/>
              </w:rPr>
              <w:t>61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831E75"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34243A" w14:textId="77777777" w:rsidR="00855241" w:rsidRPr="00BC5284" w:rsidRDefault="00855241">
            <w:pPr>
              <w:pStyle w:val="TableTextStocktake"/>
              <w:jc w:val="right"/>
            </w:pPr>
            <w:r w:rsidRPr="00BC5284">
              <w:rPr>
                <w:sz w:val="14"/>
                <w:szCs w:val="14"/>
              </w:rPr>
              <w:t>61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65EA7FB" w14:textId="77777777" w:rsidR="00855241" w:rsidRPr="00BC5284" w:rsidRDefault="00855241">
            <w:pPr>
              <w:pStyle w:val="TableTextStocktake"/>
              <w:jc w:val="right"/>
            </w:pPr>
            <w:r w:rsidRPr="00BC5284">
              <w:rPr>
                <w:sz w:val="14"/>
                <w:szCs w:val="14"/>
              </w:rPr>
              <w:t>394</w:t>
            </w:r>
          </w:p>
        </w:tc>
      </w:tr>
      <w:tr w:rsidR="00855241" w:rsidRPr="00BC5284" w14:paraId="744E911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906395" w14:textId="77777777" w:rsidR="00855241" w:rsidRPr="00BC5284" w:rsidRDefault="00855241">
            <w:pPr>
              <w:pStyle w:val="TableTextStocktake"/>
            </w:pPr>
            <w:r w:rsidRPr="00BC5284">
              <w:rPr>
                <w:sz w:val="14"/>
                <w:szCs w:val="14"/>
              </w:rPr>
              <w:t>Maribyrnong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4946D6"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2F5563" w14:textId="77777777" w:rsidR="00855241" w:rsidRPr="00BC5284" w:rsidRDefault="00855241">
            <w:pPr>
              <w:pStyle w:val="TableTextStocktake"/>
              <w:jc w:val="right"/>
            </w:pPr>
            <w:r w:rsidRPr="00BC5284">
              <w:rPr>
                <w:sz w:val="14"/>
                <w:szCs w:val="14"/>
              </w:rPr>
              <w:t>31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EB820A" w14:textId="77777777" w:rsidR="00855241" w:rsidRPr="00BC5284" w:rsidRDefault="00855241">
            <w:pPr>
              <w:pStyle w:val="TableTextStocktake"/>
              <w:jc w:val="right"/>
            </w:pPr>
            <w:r w:rsidRPr="00BC5284">
              <w:rPr>
                <w:sz w:val="14"/>
                <w:szCs w:val="14"/>
              </w:rPr>
              <w:t>91,387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E8B9FD" w14:textId="77777777" w:rsidR="00855241" w:rsidRPr="00BC5284" w:rsidRDefault="00855241">
            <w:pPr>
              <w:pStyle w:val="TableTextStocktake"/>
              <w:jc w:val="right"/>
            </w:pPr>
            <w:r w:rsidRPr="00BC5284">
              <w:rPr>
                <w:sz w:val="14"/>
                <w:szCs w:val="14"/>
              </w:rPr>
              <w:t>22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33D83A" w14:textId="77777777" w:rsidR="00855241" w:rsidRPr="00BC5284" w:rsidRDefault="00855241">
            <w:pPr>
              <w:pStyle w:val="TableTextStocktake"/>
              <w:jc w:val="right"/>
            </w:pPr>
            <w:r w:rsidRPr="00BC5284">
              <w:rPr>
                <w:sz w:val="14"/>
                <w:szCs w:val="14"/>
              </w:rPr>
              <w:t>164</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FB278C" w14:textId="77777777" w:rsidR="00855241" w:rsidRPr="00BC5284" w:rsidRDefault="00855241">
            <w:pPr>
              <w:pStyle w:val="TableTextStocktake"/>
              <w:jc w:val="right"/>
            </w:pPr>
            <w:r w:rsidRPr="00BC5284">
              <w:rPr>
                <w:sz w:val="14"/>
                <w:szCs w:val="14"/>
              </w:rPr>
              <w:t>186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291713"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671F59" w14:textId="77777777" w:rsidR="00855241" w:rsidRPr="00BC5284" w:rsidRDefault="00855241">
            <w:pPr>
              <w:pStyle w:val="TableTextStocktake"/>
              <w:jc w:val="right"/>
            </w:pPr>
            <w:r w:rsidRPr="00BC5284">
              <w:rPr>
                <w:sz w:val="14"/>
                <w:szCs w:val="14"/>
              </w:rPr>
              <w:t>187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22A8574" w14:textId="77777777" w:rsidR="00855241" w:rsidRPr="00BC5284" w:rsidRDefault="00855241">
            <w:pPr>
              <w:pStyle w:val="TableTextStocktake"/>
              <w:jc w:val="right"/>
            </w:pPr>
            <w:r w:rsidRPr="00BC5284">
              <w:rPr>
                <w:sz w:val="14"/>
                <w:szCs w:val="14"/>
              </w:rPr>
              <w:t>4,700</w:t>
            </w:r>
          </w:p>
        </w:tc>
      </w:tr>
      <w:tr w:rsidR="00855241" w:rsidRPr="00BC5284" w14:paraId="5A7DE94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2163BF" w14:textId="77777777" w:rsidR="00855241" w:rsidRPr="00BC5284" w:rsidRDefault="00855241">
            <w:pPr>
              <w:pStyle w:val="TableTextStocktake"/>
            </w:pPr>
            <w:r w:rsidRPr="00BC5284">
              <w:rPr>
                <w:sz w:val="14"/>
                <w:szCs w:val="14"/>
              </w:rPr>
              <w:t>Maroondah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FC4D02"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232F87" w14:textId="77777777" w:rsidR="00855241" w:rsidRPr="00BC5284" w:rsidRDefault="00855241">
            <w:pPr>
              <w:pStyle w:val="TableTextStocktake"/>
              <w:jc w:val="right"/>
            </w:pPr>
            <w:r w:rsidRPr="00BC5284">
              <w:rPr>
                <w:sz w:val="14"/>
                <w:szCs w:val="14"/>
              </w:rPr>
              <w:t>61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E313CD" w14:textId="77777777" w:rsidR="00855241" w:rsidRPr="00BC5284" w:rsidRDefault="00855241">
            <w:pPr>
              <w:pStyle w:val="TableTextStocktake"/>
              <w:jc w:val="right"/>
            </w:pPr>
            <w:r w:rsidRPr="00BC5284">
              <w:rPr>
                <w:sz w:val="14"/>
                <w:szCs w:val="14"/>
              </w:rPr>
              <w:t>117,498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7B7D6E" w14:textId="77777777" w:rsidR="00855241" w:rsidRPr="00BC5284" w:rsidRDefault="00855241">
            <w:pPr>
              <w:pStyle w:val="TableTextStocktake"/>
              <w:jc w:val="right"/>
            </w:pPr>
            <w:r w:rsidRPr="00BC5284">
              <w:rPr>
                <w:sz w:val="14"/>
                <w:szCs w:val="14"/>
              </w:rPr>
              <w:t>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87DCA0" w14:textId="77777777" w:rsidR="00855241" w:rsidRPr="00BC5284" w:rsidRDefault="00855241">
            <w:pPr>
              <w:pStyle w:val="TableTextStocktake"/>
              <w:jc w:val="right"/>
            </w:pPr>
            <w:r w:rsidRPr="00BC5284">
              <w:rPr>
                <w:sz w:val="14"/>
                <w:szCs w:val="14"/>
              </w:rPr>
              <w:t>118</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279CAC" w14:textId="77777777" w:rsidR="00855241" w:rsidRPr="00BC5284" w:rsidRDefault="00855241">
            <w:pPr>
              <w:pStyle w:val="TableTextStocktake"/>
              <w:jc w:val="right"/>
            </w:pPr>
            <w:r w:rsidRPr="00BC5284">
              <w:rPr>
                <w:sz w:val="14"/>
                <w:szCs w:val="14"/>
              </w:rPr>
              <w:t>120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B25550" w14:textId="77777777" w:rsidR="00855241" w:rsidRPr="00BC5284" w:rsidRDefault="00855241">
            <w:pPr>
              <w:pStyle w:val="TableTextStocktake"/>
              <w:jc w:val="right"/>
            </w:pPr>
            <w:r w:rsidRPr="00BC5284">
              <w:rPr>
                <w:sz w:val="14"/>
                <w:szCs w:val="14"/>
              </w:rPr>
              <w:t>13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7FCE4E" w14:textId="77777777" w:rsidR="00855241" w:rsidRPr="00BC5284" w:rsidRDefault="00855241">
            <w:pPr>
              <w:pStyle w:val="TableTextStocktake"/>
              <w:jc w:val="right"/>
            </w:pPr>
            <w:r w:rsidRPr="00BC5284">
              <w:rPr>
                <w:sz w:val="14"/>
                <w:szCs w:val="14"/>
              </w:rPr>
              <w:t>133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71A6412" w14:textId="77777777" w:rsidR="00855241" w:rsidRPr="00BC5284" w:rsidRDefault="00855241">
            <w:pPr>
              <w:pStyle w:val="TableTextStocktake"/>
              <w:jc w:val="right"/>
            </w:pPr>
            <w:r w:rsidRPr="00BC5284">
              <w:rPr>
                <w:sz w:val="14"/>
                <w:szCs w:val="14"/>
              </w:rPr>
              <w:t>297</w:t>
            </w:r>
          </w:p>
        </w:tc>
      </w:tr>
      <w:tr w:rsidR="00855241" w:rsidRPr="00BC5284" w14:paraId="57E7716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6BCB86" w14:textId="77777777" w:rsidR="00855241" w:rsidRPr="00BC5284" w:rsidRDefault="00855241">
            <w:pPr>
              <w:pStyle w:val="TableTextStocktake"/>
            </w:pPr>
            <w:r w:rsidRPr="00BC5284">
              <w:rPr>
                <w:sz w:val="14"/>
                <w:szCs w:val="14"/>
              </w:rPr>
              <w:t>Melbourne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6B8F05"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5AAD9F" w14:textId="77777777" w:rsidR="00855241" w:rsidRPr="00BC5284" w:rsidRDefault="00855241">
            <w:pPr>
              <w:pStyle w:val="TableTextStocktake"/>
              <w:jc w:val="right"/>
            </w:pPr>
            <w:r w:rsidRPr="00BC5284">
              <w:rPr>
                <w:sz w:val="14"/>
                <w:szCs w:val="14"/>
              </w:rPr>
              <w:t>37</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C3A1CE" w14:textId="77777777" w:rsidR="00855241" w:rsidRPr="00BC5284" w:rsidRDefault="00855241">
            <w:pPr>
              <w:pStyle w:val="TableTextStocktake"/>
              <w:jc w:val="right"/>
            </w:pPr>
            <w:r w:rsidRPr="00BC5284">
              <w:rPr>
                <w:sz w:val="14"/>
                <w:szCs w:val="14"/>
              </w:rPr>
              <w:t>169,961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2304D2" w14:textId="77777777" w:rsidR="00855241" w:rsidRPr="00BC5284" w:rsidRDefault="00855241">
            <w:pPr>
              <w:pStyle w:val="TableTextStocktake"/>
              <w:jc w:val="right"/>
            </w:pPr>
            <w:r w:rsidRPr="00BC5284">
              <w:rPr>
                <w:sz w:val="14"/>
                <w:szCs w:val="14"/>
              </w:rPr>
              <w:t>386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7CD3D7" w14:textId="77777777" w:rsidR="00855241" w:rsidRPr="00BC5284" w:rsidRDefault="00855241">
            <w:pPr>
              <w:pStyle w:val="TableTextStocktake"/>
              <w:jc w:val="right"/>
            </w:pPr>
            <w:r w:rsidRPr="00BC5284">
              <w:rPr>
                <w:sz w:val="14"/>
                <w:szCs w:val="14"/>
              </w:rPr>
              <w:t>587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D7B9FF" w14:textId="77777777" w:rsidR="00855241" w:rsidRPr="00BC5284" w:rsidRDefault="00855241">
            <w:pPr>
              <w:pStyle w:val="TableTextStocktake"/>
              <w:jc w:val="right"/>
            </w:pPr>
            <w:r w:rsidRPr="00BC5284">
              <w:rPr>
                <w:sz w:val="14"/>
                <w:szCs w:val="14"/>
              </w:rPr>
              <w:t>973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072BC7" w14:textId="77777777" w:rsidR="00855241" w:rsidRPr="00BC5284" w:rsidRDefault="00855241">
            <w:pPr>
              <w:pStyle w:val="TableTextStocktake"/>
              <w:jc w:val="right"/>
            </w:pPr>
            <w:r w:rsidRPr="00BC5284">
              <w:rPr>
                <w:sz w:val="14"/>
                <w:szCs w:val="14"/>
              </w:rPr>
              <w:t>53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27375A" w14:textId="77777777" w:rsidR="00855241" w:rsidRPr="00BC5284" w:rsidRDefault="00855241">
            <w:pPr>
              <w:pStyle w:val="TableTextStocktake"/>
              <w:jc w:val="right"/>
            </w:pPr>
            <w:r w:rsidRPr="00BC5284">
              <w:rPr>
                <w:sz w:val="14"/>
                <w:szCs w:val="14"/>
              </w:rPr>
              <w:t>1,026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0834B2A" w14:textId="77777777" w:rsidR="00855241" w:rsidRPr="00BC5284" w:rsidRDefault="00855241">
            <w:pPr>
              <w:pStyle w:val="TableTextStocktake"/>
              <w:jc w:val="right"/>
            </w:pPr>
            <w:r w:rsidRPr="00BC5284">
              <w:rPr>
                <w:sz w:val="14"/>
                <w:szCs w:val="14"/>
              </w:rPr>
              <w:t>12,867</w:t>
            </w:r>
          </w:p>
        </w:tc>
      </w:tr>
      <w:tr w:rsidR="00855241" w:rsidRPr="00BC5284" w14:paraId="01AA57E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4F78DBB" w14:textId="77777777" w:rsidR="00855241" w:rsidRPr="00BC5284" w:rsidRDefault="00855241">
            <w:pPr>
              <w:pStyle w:val="TableTextStocktake"/>
            </w:pPr>
            <w:r w:rsidRPr="00BC5284">
              <w:rPr>
                <w:sz w:val="14"/>
                <w:szCs w:val="14"/>
              </w:rPr>
              <w:t>Melton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053A0B"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907C2E" w14:textId="77777777" w:rsidR="00855241" w:rsidRPr="00BC5284" w:rsidRDefault="00855241">
            <w:pPr>
              <w:pStyle w:val="TableTextStocktake"/>
              <w:jc w:val="right"/>
            </w:pPr>
            <w:r w:rsidRPr="00BC5284">
              <w:rPr>
                <w:sz w:val="14"/>
                <w:szCs w:val="14"/>
              </w:rPr>
              <w:t>528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F8D5CB" w14:textId="77777777" w:rsidR="00855241" w:rsidRPr="00BC5284" w:rsidRDefault="00855241">
            <w:pPr>
              <w:pStyle w:val="TableTextStocktake"/>
              <w:jc w:val="right"/>
            </w:pPr>
            <w:r w:rsidRPr="00BC5284">
              <w:rPr>
                <w:sz w:val="14"/>
                <w:szCs w:val="14"/>
              </w:rPr>
              <w:t>156,713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2E817E" w14:textId="77777777" w:rsidR="00855241" w:rsidRPr="00BC5284" w:rsidRDefault="00855241">
            <w:pPr>
              <w:pStyle w:val="TableTextStocktake"/>
              <w:jc w:val="right"/>
            </w:pPr>
            <w:r w:rsidRPr="00BC5284">
              <w:rPr>
                <w:sz w:val="14"/>
                <w:szCs w:val="14"/>
              </w:rPr>
              <w:t>10</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2ABA2E" w14:textId="77777777" w:rsidR="00855241" w:rsidRPr="00BC5284" w:rsidRDefault="00855241">
            <w:pPr>
              <w:pStyle w:val="TableTextStocktake"/>
              <w:jc w:val="right"/>
            </w:pPr>
            <w:r w:rsidRPr="00BC5284">
              <w:rPr>
                <w:sz w:val="14"/>
                <w:szCs w:val="14"/>
              </w:rPr>
              <w:t>113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35623C" w14:textId="77777777" w:rsidR="00855241" w:rsidRPr="00BC5284" w:rsidRDefault="00855241">
            <w:pPr>
              <w:pStyle w:val="TableTextStocktake"/>
              <w:jc w:val="right"/>
            </w:pPr>
            <w:r w:rsidRPr="00BC5284">
              <w:rPr>
                <w:sz w:val="14"/>
                <w:szCs w:val="14"/>
              </w:rPr>
              <w:t>123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066460" w14:textId="77777777" w:rsidR="00855241" w:rsidRPr="00BC5284" w:rsidRDefault="00855241">
            <w:pPr>
              <w:pStyle w:val="TableTextStocktake"/>
              <w:jc w:val="right"/>
            </w:pPr>
            <w:r w:rsidRPr="00BC5284">
              <w:rPr>
                <w:sz w:val="14"/>
                <w:szCs w:val="14"/>
              </w:rPr>
              <w:t>5</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4582C7" w14:textId="77777777" w:rsidR="00855241" w:rsidRPr="00BC5284" w:rsidRDefault="00855241">
            <w:pPr>
              <w:pStyle w:val="TableTextStocktake"/>
              <w:jc w:val="right"/>
            </w:pPr>
            <w:r w:rsidRPr="00BC5284">
              <w:rPr>
                <w:sz w:val="14"/>
                <w:szCs w:val="14"/>
              </w:rPr>
              <w:t>128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6B6E636" w14:textId="77777777" w:rsidR="00855241" w:rsidRPr="00BC5284" w:rsidRDefault="00855241">
            <w:pPr>
              <w:pStyle w:val="TableTextStocktake"/>
              <w:jc w:val="right"/>
            </w:pPr>
            <w:r w:rsidRPr="00BC5284">
              <w:rPr>
                <w:sz w:val="14"/>
                <w:szCs w:val="14"/>
              </w:rPr>
              <w:t>426</w:t>
            </w:r>
          </w:p>
        </w:tc>
      </w:tr>
      <w:tr w:rsidR="00855241" w:rsidRPr="00BC5284" w14:paraId="7C50761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FAC175" w14:textId="77777777" w:rsidR="00855241" w:rsidRPr="00BC5284" w:rsidRDefault="00855241">
            <w:pPr>
              <w:pStyle w:val="TableTextStocktake"/>
            </w:pPr>
            <w:r w:rsidRPr="00BC5284">
              <w:rPr>
                <w:sz w:val="14"/>
                <w:szCs w:val="14"/>
              </w:rPr>
              <w:t>Mildura (RC)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DC9A77"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1EC170" w14:textId="77777777" w:rsidR="00855241" w:rsidRPr="00BC5284" w:rsidRDefault="00855241">
            <w:pPr>
              <w:pStyle w:val="TableTextStocktake"/>
              <w:jc w:val="right"/>
            </w:pPr>
            <w:r w:rsidRPr="00BC5284">
              <w:rPr>
                <w:sz w:val="14"/>
                <w:szCs w:val="14"/>
              </w:rPr>
              <w:t>22,083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EFC96C" w14:textId="77777777" w:rsidR="00855241" w:rsidRPr="00BC5284" w:rsidRDefault="00855241">
            <w:pPr>
              <w:pStyle w:val="TableTextStocktake"/>
              <w:jc w:val="right"/>
            </w:pPr>
            <w:r w:rsidRPr="00BC5284">
              <w:rPr>
                <w:sz w:val="14"/>
                <w:szCs w:val="14"/>
              </w:rPr>
              <w:t>55,515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0EDEA4" w14:textId="77777777" w:rsidR="00855241" w:rsidRPr="00BC5284" w:rsidRDefault="00855241">
            <w:pPr>
              <w:pStyle w:val="TableTextStocktake"/>
              <w:jc w:val="right"/>
            </w:pPr>
            <w:r w:rsidRPr="00BC5284">
              <w:rPr>
                <w:sz w:val="14"/>
                <w:szCs w:val="14"/>
              </w:rPr>
              <w:t>14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803270" w14:textId="77777777" w:rsidR="00855241" w:rsidRPr="00BC5284" w:rsidRDefault="00855241">
            <w:pPr>
              <w:pStyle w:val="TableTextStocktake"/>
              <w:jc w:val="right"/>
            </w:pPr>
            <w:r w:rsidRPr="00BC5284">
              <w:rPr>
                <w:sz w:val="14"/>
                <w:szCs w:val="14"/>
              </w:rPr>
              <w:t>222</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1BCC00" w14:textId="77777777" w:rsidR="00855241" w:rsidRPr="00BC5284" w:rsidRDefault="00855241">
            <w:pPr>
              <w:pStyle w:val="TableTextStocktake"/>
              <w:jc w:val="right"/>
            </w:pPr>
            <w:r w:rsidRPr="00BC5284">
              <w:rPr>
                <w:sz w:val="14"/>
                <w:szCs w:val="14"/>
              </w:rPr>
              <w:t>236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6E099E" w14:textId="77777777" w:rsidR="00855241" w:rsidRPr="00BC5284" w:rsidRDefault="00855241">
            <w:pPr>
              <w:pStyle w:val="TableTextStocktake"/>
              <w:jc w:val="right"/>
            </w:pPr>
            <w:r w:rsidRPr="00BC5284">
              <w:rPr>
                <w:sz w:val="14"/>
                <w:szCs w:val="14"/>
              </w:rPr>
              <w:t>14</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73E8A3" w14:textId="77777777" w:rsidR="00855241" w:rsidRPr="00BC5284" w:rsidRDefault="00855241">
            <w:pPr>
              <w:pStyle w:val="TableTextStocktake"/>
              <w:jc w:val="right"/>
            </w:pPr>
            <w:r w:rsidRPr="00BC5284">
              <w:rPr>
                <w:sz w:val="14"/>
                <w:szCs w:val="14"/>
              </w:rPr>
              <w:t>250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6B080F8" w14:textId="77777777" w:rsidR="00855241" w:rsidRPr="00BC5284" w:rsidRDefault="00855241">
            <w:pPr>
              <w:pStyle w:val="TableTextStocktake"/>
              <w:jc w:val="right"/>
            </w:pPr>
            <w:r w:rsidRPr="00BC5284">
              <w:rPr>
                <w:sz w:val="14"/>
                <w:szCs w:val="14"/>
              </w:rPr>
              <w:t>698</w:t>
            </w:r>
          </w:p>
        </w:tc>
      </w:tr>
      <w:tr w:rsidR="00855241" w:rsidRPr="00BC5284" w14:paraId="66957AA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CE716C" w14:textId="77777777" w:rsidR="00855241" w:rsidRPr="00BC5284" w:rsidRDefault="00855241">
            <w:pPr>
              <w:pStyle w:val="TableTextStocktake"/>
            </w:pPr>
            <w:r w:rsidRPr="00BC5284">
              <w:rPr>
                <w:sz w:val="14"/>
                <w:szCs w:val="14"/>
              </w:rPr>
              <w:t>Mitchell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E210D4"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AC71A1" w14:textId="77777777" w:rsidR="00855241" w:rsidRPr="00BC5284" w:rsidRDefault="00855241">
            <w:pPr>
              <w:pStyle w:val="TableTextStocktake"/>
              <w:jc w:val="right"/>
            </w:pPr>
            <w:r w:rsidRPr="00BC5284">
              <w:rPr>
                <w:sz w:val="14"/>
                <w:szCs w:val="14"/>
              </w:rPr>
              <w:t>2,862</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8FF473" w14:textId="77777777" w:rsidR="00855241" w:rsidRPr="00BC5284" w:rsidRDefault="00855241">
            <w:pPr>
              <w:pStyle w:val="TableTextStocktake"/>
              <w:jc w:val="right"/>
            </w:pPr>
            <w:r w:rsidRPr="00BC5284">
              <w:rPr>
                <w:sz w:val="14"/>
                <w:szCs w:val="14"/>
              </w:rPr>
              <w:t>44,299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A193C8" w14:textId="77777777" w:rsidR="00855241" w:rsidRPr="00BC5284" w:rsidRDefault="00855241">
            <w:pPr>
              <w:pStyle w:val="TableTextStocktake"/>
              <w:jc w:val="right"/>
            </w:pPr>
            <w:r w:rsidRPr="00BC5284">
              <w:rPr>
                <w:sz w:val="14"/>
                <w:szCs w:val="14"/>
              </w:rPr>
              <w:t>22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AF1561" w14:textId="77777777" w:rsidR="00855241" w:rsidRPr="00BC5284" w:rsidRDefault="00855241">
            <w:pPr>
              <w:pStyle w:val="TableTextStocktake"/>
              <w:jc w:val="right"/>
            </w:pPr>
            <w:r w:rsidRPr="00BC5284">
              <w:rPr>
                <w:sz w:val="14"/>
                <w:szCs w:val="14"/>
              </w:rPr>
              <w:t>160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D40D25" w14:textId="77777777" w:rsidR="00855241" w:rsidRPr="00BC5284" w:rsidRDefault="00855241">
            <w:pPr>
              <w:pStyle w:val="TableTextStocktake"/>
              <w:jc w:val="right"/>
            </w:pPr>
            <w:r w:rsidRPr="00BC5284">
              <w:rPr>
                <w:sz w:val="14"/>
                <w:szCs w:val="14"/>
              </w:rPr>
              <w:t>182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09154A" w14:textId="77777777" w:rsidR="00855241" w:rsidRPr="00BC5284" w:rsidRDefault="00855241">
            <w:pPr>
              <w:pStyle w:val="TableTextStocktake"/>
              <w:jc w:val="right"/>
            </w:pPr>
            <w:r w:rsidRPr="00BC5284">
              <w:rPr>
                <w:sz w:val="14"/>
                <w:szCs w:val="14"/>
              </w:rPr>
              <w:t>14</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829158" w14:textId="77777777" w:rsidR="00855241" w:rsidRPr="00BC5284" w:rsidRDefault="00855241">
            <w:pPr>
              <w:pStyle w:val="TableTextStocktake"/>
              <w:jc w:val="right"/>
            </w:pPr>
            <w:r w:rsidRPr="00BC5284">
              <w:rPr>
                <w:sz w:val="14"/>
                <w:szCs w:val="14"/>
              </w:rPr>
              <w:t>196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A0ED887" w14:textId="77777777" w:rsidR="00855241" w:rsidRPr="00BC5284" w:rsidRDefault="00855241">
            <w:pPr>
              <w:pStyle w:val="TableTextStocktake"/>
              <w:jc w:val="right"/>
            </w:pPr>
            <w:r w:rsidRPr="00BC5284">
              <w:rPr>
                <w:sz w:val="14"/>
                <w:szCs w:val="14"/>
              </w:rPr>
              <w:t>1,035</w:t>
            </w:r>
          </w:p>
        </w:tc>
      </w:tr>
      <w:tr w:rsidR="00855241" w:rsidRPr="00BC5284" w14:paraId="36F828D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900B34" w14:textId="77777777" w:rsidR="00855241" w:rsidRPr="00BC5284" w:rsidRDefault="00855241">
            <w:pPr>
              <w:pStyle w:val="TableTextStocktake"/>
            </w:pPr>
            <w:r w:rsidRPr="00BC5284">
              <w:rPr>
                <w:sz w:val="14"/>
                <w:szCs w:val="14"/>
              </w:rPr>
              <w:t>Moira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0A80E4"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FF6ABE" w14:textId="77777777" w:rsidR="00855241" w:rsidRPr="00BC5284" w:rsidRDefault="00855241">
            <w:pPr>
              <w:pStyle w:val="TableTextStocktake"/>
              <w:jc w:val="right"/>
            </w:pPr>
            <w:r w:rsidRPr="00BC5284">
              <w:rPr>
                <w:sz w:val="14"/>
                <w:szCs w:val="14"/>
              </w:rPr>
              <w:t>4,046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AED289" w14:textId="77777777" w:rsidR="00855241" w:rsidRPr="00BC5284" w:rsidRDefault="00855241">
            <w:pPr>
              <w:pStyle w:val="TableTextStocktake"/>
              <w:jc w:val="right"/>
            </w:pPr>
            <w:r w:rsidRPr="00BC5284">
              <w:rPr>
                <w:sz w:val="14"/>
                <w:szCs w:val="14"/>
              </w:rPr>
              <w:t>29,799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CFD7F8" w14:textId="77777777" w:rsidR="00855241" w:rsidRPr="00BC5284" w:rsidRDefault="00855241">
            <w:pPr>
              <w:pStyle w:val="TableTextStocktake"/>
              <w:jc w:val="right"/>
            </w:pPr>
            <w:r w:rsidRPr="00BC5284">
              <w:rPr>
                <w:sz w:val="14"/>
                <w:szCs w:val="14"/>
              </w:rPr>
              <w:t>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9D04DC" w14:textId="77777777" w:rsidR="00855241" w:rsidRPr="00BC5284" w:rsidRDefault="00855241">
            <w:pPr>
              <w:pStyle w:val="TableTextStocktake"/>
              <w:jc w:val="right"/>
            </w:pPr>
            <w:r w:rsidRPr="00BC5284">
              <w:rPr>
                <w:sz w:val="14"/>
                <w:szCs w:val="14"/>
              </w:rPr>
              <w:t>150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D03580" w14:textId="77777777" w:rsidR="00855241" w:rsidRPr="00BC5284" w:rsidRDefault="00855241">
            <w:pPr>
              <w:pStyle w:val="TableTextStocktake"/>
              <w:jc w:val="right"/>
            </w:pPr>
            <w:r w:rsidRPr="00BC5284">
              <w:rPr>
                <w:sz w:val="14"/>
                <w:szCs w:val="14"/>
              </w:rPr>
              <w:t>158</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A15793" w14:textId="77777777" w:rsidR="00855241" w:rsidRPr="00BC5284" w:rsidRDefault="00855241">
            <w:pPr>
              <w:pStyle w:val="TableTextStocktake"/>
              <w:jc w:val="right"/>
            </w:pPr>
            <w:r w:rsidRPr="00BC5284">
              <w:rPr>
                <w:sz w:val="14"/>
                <w:szCs w:val="14"/>
              </w:rPr>
              <w:t>15</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A987B5" w14:textId="77777777" w:rsidR="00855241" w:rsidRPr="00BC5284" w:rsidRDefault="00855241">
            <w:pPr>
              <w:pStyle w:val="TableTextStocktake"/>
              <w:jc w:val="right"/>
            </w:pPr>
            <w:r w:rsidRPr="00BC5284">
              <w:rPr>
                <w:sz w:val="14"/>
                <w:szCs w:val="14"/>
              </w:rPr>
              <w:t>173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9C7F468" w14:textId="77777777" w:rsidR="00855241" w:rsidRPr="00BC5284" w:rsidRDefault="00855241">
            <w:pPr>
              <w:pStyle w:val="TableTextStocktake"/>
              <w:jc w:val="right"/>
            </w:pPr>
            <w:r w:rsidRPr="00BC5284">
              <w:rPr>
                <w:sz w:val="14"/>
                <w:szCs w:val="14"/>
              </w:rPr>
              <w:t>1,375</w:t>
            </w:r>
          </w:p>
        </w:tc>
      </w:tr>
      <w:tr w:rsidR="00855241" w:rsidRPr="00BC5284" w14:paraId="7737AB9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4307D5" w14:textId="77777777" w:rsidR="00855241" w:rsidRPr="00BC5284" w:rsidRDefault="00855241">
            <w:pPr>
              <w:pStyle w:val="TableTextStocktake"/>
            </w:pPr>
            <w:r w:rsidRPr="00BC5284">
              <w:rPr>
                <w:sz w:val="14"/>
                <w:szCs w:val="14"/>
              </w:rPr>
              <w:t>Monash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9066C5"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C37F16" w14:textId="77777777" w:rsidR="00855241" w:rsidRPr="00BC5284" w:rsidRDefault="00855241">
            <w:pPr>
              <w:pStyle w:val="TableTextStocktake"/>
              <w:jc w:val="right"/>
            </w:pPr>
            <w:r w:rsidRPr="00BC5284">
              <w:rPr>
                <w:sz w:val="14"/>
                <w:szCs w:val="14"/>
              </w:rPr>
              <w:t>82</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EF61EE" w14:textId="77777777" w:rsidR="00855241" w:rsidRPr="00BC5284" w:rsidRDefault="00855241">
            <w:pPr>
              <w:pStyle w:val="TableTextStocktake"/>
              <w:jc w:val="right"/>
            </w:pPr>
            <w:r w:rsidRPr="00BC5284">
              <w:rPr>
                <w:sz w:val="14"/>
                <w:szCs w:val="14"/>
              </w:rPr>
              <w:t>200,077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8CD9E1" w14:textId="77777777" w:rsidR="00855241" w:rsidRPr="00BC5284" w:rsidRDefault="00855241">
            <w:pPr>
              <w:pStyle w:val="TableTextStocktake"/>
              <w:jc w:val="right"/>
            </w:pPr>
            <w:r w:rsidRPr="00BC5284">
              <w:rPr>
                <w:sz w:val="14"/>
                <w:szCs w:val="14"/>
              </w:rPr>
              <w:t>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8F4E3B" w14:textId="77777777" w:rsidR="00855241" w:rsidRPr="00BC5284" w:rsidRDefault="00855241">
            <w:pPr>
              <w:pStyle w:val="TableTextStocktake"/>
              <w:jc w:val="right"/>
            </w:pPr>
            <w:r w:rsidRPr="00BC5284">
              <w:rPr>
                <w:sz w:val="14"/>
                <w:szCs w:val="14"/>
              </w:rPr>
              <w:t>90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B8D779" w14:textId="77777777" w:rsidR="00855241" w:rsidRPr="00BC5284" w:rsidRDefault="00855241">
            <w:pPr>
              <w:pStyle w:val="TableTextStocktake"/>
              <w:jc w:val="right"/>
            </w:pPr>
            <w:r w:rsidRPr="00BC5284">
              <w:rPr>
                <w:sz w:val="14"/>
                <w:szCs w:val="14"/>
              </w:rPr>
              <w:t>96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2EEC9C" w14:textId="77777777" w:rsidR="00855241" w:rsidRPr="00BC5284" w:rsidRDefault="00855241">
            <w:pPr>
              <w:pStyle w:val="TableTextStocktake"/>
              <w:jc w:val="right"/>
            </w:pPr>
            <w:r w:rsidRPr="00BC5284">
              <w:rPr>
                <w:sz w:val="14"/>
                <w:szCs w:val="14"/>
              </w:rPr>
              <w:t>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380A97" w14:textId="77777777" w:rsidR="00855241" w:rsidRPr="00BC5284" w:rsidRDefault="00855241">
            <w:pPr>
              <w:pStyle w:val="TableTextStocktake"/>
              <w:jc w:val="right"/>
            </w:pPr>
            <w:r w:rsidRPr="00BC5284">
              <w:rPr>
                <w:sz w:val="14"/>
                <w:szCs w:val="14"/>
              </w:rPr>
              <w:t>103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8FB2E9B" w14:textId="77777777" w:rsidR="00855241" w:rsidRPr="00BC5284" w:rsidRDefault="00855241">
            <w:pPr>
              <w:pStyle w:val="TableTextStocktake"/>
              <w:jc w:val="right"/>
            </w:pPr>
            <w:r w:rsidRPr="00BC5284">
              <w:rPr>
                <w:sz w:val="14"/>
                <w:szCs w:val="14"/>
              </w:rPr>
              <w:t>1,320</w:t>
            </w:r>
          </w:p>
        </w:tc>
      </w:tr>
      <w:tr w:rsidR="00855241" w:rsidRPr="00BC5284" w14:paraId="5F53401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BE1A3E" w14:textId="77777777" w:rsidR="00855241" w:rsidRPr="00BC5284" w:rsidRDefault="00855241">
            <w:pPr>
              <w:pStyle w:val="TableTextStocktake"/>
            </w:pPr>
            <w:r w:rsidRPr="00BC5284">
              <w:rPr>
                <w:sz w:val="14"/>
                <w:szCs w:val="14"/>
              </w:rPr>
              <w:t>Moonee Valley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018F77"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E9CB5A" w14:textId="77777777" w:rsidR="00855241" w:rsidRPr="00BC5284" w:rsidRDefault="00855241">
            <w:pPr>
              <w:pStyle w:val="TableTextStocktake"/>
              <w:jc w:val="right"/>
            </w:pPr>
            <w:r w:rsidRPr="00BC5284">
              <w:rPr>
                <w:sz w:val="14"/>
                <w:szCs w:val="14"/>
              </w:rPr>
              <w:t>43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2B371B" w14:textId="77777777" w:rsidR="00855241" w:rsidRPr="00BC5284" w:rsidRDefault="00855241">
            <w:pPr>
              <w:pStyle w:val="TableTextStocktake"/>
              <w:jc w:val="right"/>
            </w:pPr>
            <w:r w:rsidRPr="00BC5284">
              <w:rPr>
                <w:sz w:val="14"/>
                <w:szCs w:val="14"/>
              </w:rPr>
              <w:t>127,883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EDC080" w14:textId="77777777" w:rsidR="00855241" w:rsidRPr="00BC5284" w:rsidRDefault="00855241">
            <w:pPr>
              <w:pStyle w:val="TableTextStocktake"/>
              <w:jc w:val="right"/>
            </w:pPr>
            <w:r w:rsidRPr="00BC5284">
              <w:rPr>
                <w:sz w:val="14"/>
                <w:szCs w:val="14"/>
              </w:rPr>
              <w:t>23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FEE975" w14:textId="77777777" w:rsidR="00855241" w:rsidRPr="00BC5284" w:rsidRDefault="00855241">
            <w:pPr>
              <w:pStyle w:val="TableTextStocktake"/>
              <w:jc w:val="right"/>
            </w:pPr>
            <w:r w:rsidRPr="00BC5284">
              <w:rPr>
                <w:sz w:val="14"/>
                <w:szCs w:val="14"/>
              </w:rPr>
              <w:t>333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4F0A1D" w14:textId="77777777" w:rsidR="00855241" w:rsidRPr="00BC5284" w:rsidRDefault="00855241">
            <w:pPr>
              <w:pStyle w:val="TableTextStocktake"/>
              <w:jc w:val="right"/>
            </w:pPr>
            <w:r w:rsidRPr="00BC5284">
              <w:rPr>
                <w:sz w:val="14"/>
                <w:szCs w:val="14"/>
              </w:rPr>
              <w:t>356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43E7DC" w14:textId="77777777" w:rsidR="00855241" w:rsidRPr="00BC5284" w:rsidRDefault="00855241">
            <w:pPr>
              <w:pStyle w:val="TableTextStocktake"/>
              <w:jc w:val="right"/>
            </w:pPr>
            <w:r w:rsidRPr="00BC5284">
              <w:rPr>
                <w:sz w:val="14"/>
                <w:szCs w:val="14"/>
              </w:rPr>
              <w:t>39</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2296FF" w14:textId="77777777" w:rsidR="00855241" w:rsidRPr="00BC5284" w:rsidRDefault="00855241">
            <w:pPr>
              <w:pStyle w:val="TableTextStocktake"/>
              <w:jc w:val="right"/>
            </w:pPr>
            <w:r w:rsidRPr="00BC5284">
              <w:rPr>
                <w:sz w:val="14"/>
                <w:szCs w:val="14"/>
              </w:rPr>
              <w:t>395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50797B2" w14:textId="77777777" w:rsidR="00855241" w:rsidRPr="00BC5284" w:rsidRDefault="00855241">
            <w:pPr>
              <w:pStyle w:val="TableTextStocktake"/>
              <w:jc w:val="right"/>
            </w:pPr>
            <w:r w:rsidRPr="00BC5284">
              <w:rPr>
                <w:sz w:val="14"/>
                <w:szCs w:val="14"/>
              </w:rPr>
              <w:t>4,312</w:t>
            </w:r>
          </w:p>
        </w:tc>
      </w:tr>
      <w:tr w:rsidR="00855241" w:rsidRPr="00BC5284" w14:paraId="35DF821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CE5D38" w14:textId="77777777" w:rsidR="00855241" w:rsidRPr="00BC5284" w:rsidRDefault="00855241">
            <w:pPr>
              <w:pStyle w:val="TableTextStocktake"/>
            </w:pPr>
            <w:r w:rsidRPr="00BC5284">
              <w:rPr>
                <w:sz w:val="14"/>
                <w:szCs w:val="14"/>
              </w:rPr>
              <w:t>Moorabool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DADCEC"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5A30B1" w14:textId="77777777" w:rsidR="00855241" w:rsidRPr="00BC5284" w:rsidRDefault="00855241">
            <w:pPr>
              <w:pStyle w:val="TableTextStocktake"/>
              <w:jc w:val="right"/>
            </w:pPr>
            <w:r w:rsidRPr="00BC5284">
              <w:rPr>
                <w:sz w:val="14"/>
                <w:szCs w:val="14"/>
              </w:rPr>
              <w:t>2,111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0A9970" w14:textId="77777777" w:rsidR="00855241" w:rsidRPr="00BC5284" w:rsidRDefault="00855241">
            <w:pPr>
              <w:pStyle w:val="TableTextStocktake"/>
              <w:jc w:val="right"/>
            </w:pPr>
            <w:r w:rsidRPr="00BC5284">
              <w:rPr>
                <w:sz w:val="14"/>
                <w:szCs w:val="14"/>
              </w:rPr>
              <w:t>34,158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AD6529" w14:textId="77777777" w:rsidR="00855241" w:rsidRPr="00BC5284" w:rsidRDefault="00855241">
            <w:pPr>
              <w:pStyle w:val="TableTextStocktake"/>
              <w:jc w:val="right"/>
            </w:pPr>
            <w:r w:rsidRPr="00BC5284">
              <w:rPr>
                <w:sz w:val="14"/>
                <w:szCs w:val="14"/>
              </w:rPr>
              <w:t>25</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0EA47F" w14:textId="77777777" w:rsidR="00855241" w:rsidRPr="00BC5284" w:rsidRDefault="00855241">
            <w:pPr>
              <w:pStyle w:val="TableTextStocktake"/>
              <w:jc w:val="right"/>
            </w:pPr>
            <w:r w:rsidRPr="00BC5284">
              <w:rPr>
                <w:sz w:val="14"/>
                <w:szCs w:val="14"/>
              </w:rPr>
              <w:t>157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C9645F" w14:textId="77777777" w:rsidR="00855241" w:rsidRPr="00BC5284" w:rsidRDefault="00855241">
            <w:pPr>
              <w:pStyle w:val="TableTextStocktake"/>
              <w:jc w:val="right"/>
            </w:pPr>
            <w:r w:rsidRPr="00BC5284">
              <w:rPr>
                <w:sz w:val="14"/>
                <w:szCs w:val="14"/>
              </w:rPr>
              <w:t>182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51C47E3"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FE8BDB" w14:textId="77777777" w:rsidR="00855241" w:rsidRPr="00BC5284" w:rsidRDefault="00855241">
            <w:pPr>
              <w:pStyle w:val="TableTextStocktake"/>
              <w:jc w:val="right"/>
            </w:pPr>
            <w:r w:rsidRPr="00BC5284">
              <w:rPr>
                <w:sz w:val="14"/>
                <w:szCs w:val="14"/>
              </w:rPr>
              <w:t>182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84839D5" w14:textId="77777777" w:rsidR="00855241" w:rsidRPr="00BC5284" w:rsidRDefault="00855241">
            <w:pPr>
              <w:pStyle w:val="TableTextStocktake"/>
              <w:jc w:val="right"/>
            </w:pPr>
            <w:r w:rsidRPr="00BC5284">
              <w:rPr>
                <w:sz w:val="14"/>
                <w:szCs w:val="14"/>
              </w:rPr>
              <w:t>335</w:t>
            </w:r>
          </w:p>
        </w:tc>
      </w:tr>
      <w:tr w:rsidR="00855241" w:rsidRPr="00BC5284" w14:paraId="4906BFC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8E5A6F" w14:textId="77777777" w:rsidR="00855241" w:rsidRPr="00BC5284" w:rsidRDefault="00855241">
            <w:pPr>
              <w:pStyle w:val="TableTextStocktake"/>
            </w:pPr>
            <w:r w:rsidRPr="00BC5284">
              <w:rPr>
                <w:sz w:val="14"/>
                <w:szCs w:val="14"/>
              </w:rPr>
              <w:t>Moreland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30495D"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7B43FC" w14:textId="77777777" w:rsidR="00855241" w:rsidRPr="00BC5284" w:rsidRDefault="00855241">
            <w:pPr>
              <w:pStyle w:val="TableTextStocktake"/>
              <w:jc w:val="right"/>
            </w:pPr>
            <w:r w:rsidRPr="00BC5284">
              <w:rPr>
                <w:sz w:val="14"/>
                <w:szCs w:val="14"/>
              </w:rPr>
              <w:t>51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EBF429" w14:textId="77777777" w:rsidR="00855241" w:rsidRPr="00BC5284" w:rsidRDefault="00855241">
            <w:pPr>
              <w:pStyle w:val="TableTextStocktake"/>
              <w:jc w:val="right"/>
            </w:pPr>
            <w:r w:rsidRPr="00BC5284">
              <w:rPr>
                <w:sz w:val="14"/>
                <w:szCs w:val="14"/>
              </w:rPr>
              <w:t>181,725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02AC06" w14:textId="77777777" w:rsidR="00855241" w:rsidRPr="00BC5284" w:rsidRDefault="00855241">
            <w:pPr>
              <w:pStyle w:val="TableTextStocktake"/>
              <w:jc w:val="right"/>
            </w:pPr>
            <w:r w:rsidRPr="00BC5284">
              <w:rPr>
                <w:sz w:val="14"/>
                <w:szCs w:val="14"/>
              </w:rPr>
              <w:t>37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8E47EF" w14:textId="77777777" w:rsidR="00855241" w:rsidRPr="00BC5284" w:rsidRDefault="00855241">
            <w:pPr>
              <w:pStyle w:val="TableTextStocktake"/>
              <w:jc w:val="right"/>
            </w:pPr>
            <w:r w:rsidRPr="00BC5284">
              <w:rPr>
                <w:sz w:val="14"/>
                <w:szCs w:val="14"/>
              </w:rPr>
              <w:t>379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6A68EE" w14:textId="77777777" w:rsidR="00855241" w:rsidRPr="00BC5284" w:rsidRDefault="00855241">
            <w:pPr>
              <w:pStyle w:val="TableTextStocktake"/>
              <w:jc w:val="right"/>
            </w:pPr>
            <w:r w:rsidRPr="00BC5284">
              <w:rPr>
                <w:sz w:val="14"/>
                <w:szCs w:val="14"/>
              </w:rPr>
              <w:t>416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48226B" w14:textId="77777777" w:rsidR="00855241" w:rsidRPr="00BC5284" w:rsidRDefault="00855241">
            <w:pPr>
              <w:pStyle w:val="TableTextStocktake"/>
              <w:jc w:val="right"/>
            </w:pPr>
            <w:r w:rsidRPr="00BC5284">
              <w:rPr>
                <w:sz w:val="14"/>
                <w:szCs w:val="14"/>
              </w:rPr>
              <w:t>83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5D1FF0" w14:textId="77777777" w:rsidR="00855241" w:rsidRPr="00BC5284" w:rsidRDefault="00855241">
            <w:pPr>
              <w:pStyle w:val="TableTextStocktake"/>
              <w:jc w:val="right"/>
            </w:pPr>
            <w:r w:rsidRPr="00BC5284">
              <w:rPr>
                <w:sz w:val="14"/>
                <w:szCs w:val="14"/>
              </w:rPr>
              <w:t>499</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39F1573" w14:textId="77777777" w:rsidR="00855241" w:rsidRPr="00BC5284" w:rsidRDefault="00855241">
            <w:pPr>
              <w:pStyle w:val="TableTextStocktake"/>
              <w:jc w:val="right"/>
            </w:pPr>
            <w:r w:rsidRPr="00BC5284">
              <w:rPr>
                <w:sz w:val="14"/>
                <w:szCs w:val="14"/>
              </w:rPr>
              <w:t>8,667</w:t>
            </w:r>
          </w:p>
        </w:tc>
      </w:tr>
      <w:tr w:rsidR="00855241" w:rsidRPr="00BC5284" w14:paraId="717EA5F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F74D4B" w14:textId="77777777" w:rsidR="00855241" w:rsidRPr="00BC5284" w:rsidRDefault="00855241">
            <w:pPr>
              <w:pStyle w:val="TableTextStocktake"/>
            </w:pPr>
            <w:r w:rsidRPr="00BC5284">
              <w:rPr>
                <w:sz w:val="14"/>
                <w:szCs w:val="14"/>
              </w:rPr>
              <w:t>Mornington Peninsula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5D0B98"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92756E" w14:textId="77777777" w:rsidR="00855241" w:rsidRPr="00BC5284" w:rsidRDefault="00855241">
            <w:pPr>
              <w:pStyle w:val="TableTextStocktake"/>
              <w:jc w:val="right"/>
            </w:pPr>
            <w:r w:rsidRPr="00BC5284">
              <w:rPr>
                <w:sz w:val="14"/>
                <w:szCs w:val="14"/>
              </w:rPr>
              <w:t>724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AF9AB6" w14:textId="77777777" w:rsidR="00855241" w:rsidRPr="00BC5284" w:rsidRDefault="00855241">
            <w:pPr>
              <w:pStyle w:val="TableTextStocktake"/>
              <w:jc w:val="right"/>
            </w:pPr>
            <w:r w:rsidRPr="00BC5284">
              <w:rPr>
                <w:sz w:val="14"/>
                <w:szCs w:val="14"/>
              </w:rPr>
              <w:t>165,822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CEEFDE" w14:textId="77777777" w:rsidR="00855241" w:rsidRPr="00BC5284" w:rsidRDefault="00855241">
            <w:pPr>
              <w:pStyle w:val="TableTextStocktake"/>
              <w:jc w:val="right"/>
            </w:pPr>
            <w:r w:rsidRPr="00BC5284">
              <w:rPr>
                <w:sz w:val="14"/>
                <w:szCs w:val="14"/>
              </w:rPr>
              <w:t>46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D4DC06" w14:textId="77777777" w:rsidR="00855241" w:rsidRPr="00BC5284" w:rsidRDefault="00855241">
            <w:pPr>
              <w:pStyle w:val="TableTextStocktake"/>
              <w:jc w:val="right"/>
            </w:pPr>
            <w:r w:rsidRPr="00BC5284">
              <w:rPr>
                <w:sz w:val="14"/>
                <w:szCs w:val="14"/>
              </w:rPr>
              <w:t>375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098F22" w14:textId="77777777" w:rsidR="00855241" w:rsidRPr="00BC5284" w:rsidRDefault="00855241">
            <w:pPr>
              <w:pStyle w:val="TableTextStocktake"/>
              <w:jc w:val="right"/>
            </w:pPr>
            <w:r w:rsidRPr="00BC5284">
              <w:rPr>
                <w:sz w:val="14"/>
                <w:szCs w:val="14"/>
              </w:rPr>
              <w:t>421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C4EF57"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1ED8FD" w14:textId="77777777" w:rsidR="00855241" w:rsidRPr="00BC5284" w:rsidRDefault="00855241">
            <w:pPr>
              <w:pStyle w:val="TableTextStocktake"/>
              <w:jc w:val="right"/>
            </w:pPr>
            <w:r w:rsidRPr="00BC5284">
              <w:rPr>
                <w:sz w:val="14"/>
                <w:szCs w:val="14"/>
              </w:rPr>
              <w:t>433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7772978" w14:textId="77777777" w:rsidR="00855241" w:rsidRPr="00BC5284" w:rsidRDefault="00855241">
            <w:pPr>
              <w:pStyle w:val="TableTextStocktake"/>
              <w:jc w:val="right"/>
            </w:pPr>
            <w:r w:rsidRPr="00BC5284">
              <w:rPr>
                <w:sz w:val="14"/>
                <w:szCs w:val="14"/>
              </w:rPr>
              <w:t>1,678</w:t>
            </w:r>
          </w:p>
        </w:tc>
      </w:tr>
      <w:tr w:rsidR="00855241" w:rsidRPr="00BC5284" w14:paraId="5BCDCF88"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B2494E" w14:textId="77777777" w:rsidR="00855241" w:rsidRPr="00BC5284" w:rsidRDefault="00855241">
            <w:pPr>
              <w:pStyle w:val="TableTextStocktake"/>
            </w:pPr>
            <w:r w:rsidRPr="00BC5284">
              <w:rPr>
                <w:sz w:val="14"/>
                <w:szCs w:val="14"/>
              </w:rPr>
              <w:t>Mount Alexander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B2F4F4"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6BF048" w14:textId="77777777" w:rsidR="00855241" w:rsidRPr="00BC5284" w:rsidRDefault="00855241">
            <w:pPr>
              <w:pStyle w:val="TableTextStocktake"/>
              <w:jc w:val="right"/>
            </w:pPr>
            <w:r w:rsidRPr="00BC5284">
              <w:rPr>
                <w:sz w:val="14"/>
                <w:szCs w:val="14"/>
              </w:rPr>
              <w:t>1,530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EDEA7A" w14:textId="77777777" w:rsidR="00855241" w:rsidRPr="00BC5284" w:rsidRDefault="00855241">
            <w:pPr>
              <w:pStyle w:val="TableTextStocktake"/>
              <w:jc w:val="right"/>
            </w:pPr>
            <w:r w:rsidRPr="00BC5284">
              <w:rPr>
                <w:sz w:val="14"/>
                <w:szCs w:val="14"/>
              </w:rPr>
              <w:t>19,514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490883" w14:textId="77777777" w:rsidR="00855241" w:rsidRPr="00BC5284" w:rsidRDefault="00855241">
            <w:pPr>
              <w:pStyle w:val="TableTextStocktake"/>
              <w:jc w:val="right"/>
            </w:pPr>
            <w:r w:rsidRPr="00BC5284">
              <w:rPr>
                <w:sz w:val="14"/>
                <w:szCs w:val="14"/>
              </w:rPr>
              <w:t>117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D85A49" w14:textId="77777777" w:rsidR="00855241" w:rsidRPr="00BC5284" w:rsidRDefault="00855241">
            <w:pPr>
              <w:pStyle w:val="TableTextStocktake"/>
              <w:jc w:val="right"/>
            </w:pPr>
            <w:r w:rsidRPr="00BC5284">
              <w:rPr>
                <w:sz w:val="14"/>
                <w:szCs w:val="14"/>
              </w:rPr>
              <w:t>1,039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0C946A" w14:textId="77777777" w:rsidR="00855241" w:rsidRPr="00BC5284" w:rsidRDefault="00855241">
            <w:pPr>
              <w:pStyle w:val="TableTextStocktake"/>
              <w:jc w:val="right"/>
            </w:pPr>
            <w:r w:rsidRPr="00BC5284">
              <w:rPr>
                <w:sz w:val="14"/>
                <w:szCs w:val="14"/>
              </w:rPr>
              <w:t>1,156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A65D94" w14:textId="77777777" w:rsidR="00855241" w:rsidRPr="00BC5284" w:rsidRDefault="00855241">
            <w:pPr>
              <w:pStyle w:val="TableTextStocktake"/>
              <w:jc w:val="right"/>
            </w:pPr>
            <w:r w:rsidRPr="00BC5284">
              <w:rPr>
                <w:sz w:val="14"/>
                <w:szCs w:val="14"/>
              </w:rPr>
              <w:t>17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60E402" w14:textId="77777777" w:rsidR="00855241" w:rsidRPr="00BC5284" w:rsidRDefault="00855241">
            <w:pPr>
              <w:pStyle w:val="TableTextStocktake"/>
              <w:jc w:val="right"/>
            </w:pPr>
            <w:r w:rsidRPr="00BC5284">
              <w:rPr>
                <w:sz w:val="14"/>
                <w:szCs w:val="14"/>
              </w:rPr>
              <w:t>1,173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A182847" w14:textId="77777777" w:rsidR="00855241" w:rsidRPr="00BC5284" w:rsidRDefault="00855241">
            <w:pPr>
              <w:pStyle w:val="TableTextStocktake"/>
              <w:jc w:val="right"/>
            </w:pPr>
            <w:r w:rsidRPr="00BC5284">
              <w:rPr>
                <w:sz w:val="14"/>
                <w:szCs w:val="14"/>
              </w:rPr>
              <w:t>2,848</w:t>
            </w:r>
          </w:p>
        </w:tc>
      </w:tr>
      <w:tr w:rsidR="00855241" w:rsidRPr="00BC5284" w14:paraId="6778265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9F86E7" w14:textId="77777777" w:rsidR="00855241" w:rsidRPr="00BC5284" w:rsidRDefault="00855241">
            <w:pPr>
              <w:pStyle w:val="TableTextStocktake"/>
            </w:pPr>
            <w:r w:rsidRPr="00BC5284">
              <w:rPr>
                <w:sz w:val="14"/>
                <w:szCs w:val="14"/>
              </w:rPr>
              <w:t>Moyne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06EE02"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E5B55F" w14:textId="77777777" w:rsidR="00855241" w:rsidRPr="00BC5284" w:rsidRDefault="00855241">
            <w:pPr>
              <w:pStyle w:val="TableTextStocktake"/>
              <w:jc w:val="right"/>
            </w:pPr>
            <w:r w:rsidRPr="00BC5284">
              <w:rPr>
                <w:sz w:val="14"/>
                <w:szCs w:val="14"/>
              </w:rPr>
              <w:t>5,482</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6BB900" w14:textId="77777777" w:rsidR="00855241" w:rsidRPr="00BC5284" w:rsidRDefault="00855241">
            <w:pPr>
              <w:pStyle w:val="TableTextStocktake"/>
              <w:jc w:val="right"/>
            </w:pPr>
            <w:r w:rsidRPr="00BC5284">
              <w:rPr>
                <w:sz w:val="14"/>
                <w:szCs w:val="14"/>
              </w:rPr>
              <w:t>16,887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A53DBE" w14:textId="77777777" w:rsidR="00855241" w:rsidRPr="00BC5284" w:rsidRDefault="00855241">
            <w:pPr>
              <w:pStyle w:val="TableTextStocktake"/>
              <w:jc w:val="right"/>
            </w:pPr>
            <w:r w:rsidRPr="00BC5284">
              <w:rPr>
                <w:sz w:val="14"/>
                <w:szCs w:val="14"/>
              </w:rPr>
              <w:t>42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3E8EE5" w14:textId="77777777" w:rsidR="00855241" w:rsidRPr="00BC5284" w:rsidRDefault="00855241">
            <w:pPr>
              <w:pStyle w:val="TableTextStocktake"/>
              <w:jc w:val="right"/>
            </w:pPr>
            <w:r w:rsidRPr="00BC5284">
              <w:rPr>
                <w:sz w:val="14"/>
                <w:szCs w:val="14"/>
              </w:rPr>
              <w:t>27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FCBE2E" w14:textId="77777777" w:rsidR="00855241" w:rsidRPr="00BC5284" w:rsidRDefault="00855241">
            <w:pPr>
              <w:pStyle w:val="TableTextStocktake"/>
              <w:jc w:val="right"/>
            </w:pPr>
            <w:r w:rsidRPr="00BC5284">
              <w:rPr>
                <w:sz w:val="14"/>
                <w:szCs w:val="14"/>
              </w:rPr>
              <w:t>69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18E67E" w14:textId="77777777" w:rsidR="00855241" w:rsidRPr="00BC5284" w:rsidRDefault="00855241">
            <w:pPr>
              <w:pStyle w:val="TableTextStocktake"/>
              <w:jc w:val="right"/>
            </w:pPr>
            <w:r w:rsidRPr="00BC5284">
              <w:rPr>
                <w:sz w:val="14"/>
                <w:szCs w:val="14"/>
              </w:rPr>
              <w:t>19</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4F4C4F" w14:textId="77777777" w:rsidR="00855241" w:rsidRPr="00BC5284" w:rsidRDefault="00855241">
            <w:pPr>
              <w:pStyle w:val="TableTextStocktake"/>
              <w:jc w:val="right"/>
            </w:pPr>
            <w:r w:rsidRPr="00BC5284">
              <w:rPr>
                <w:sz w:val="14"/>
                <w:szCs w:val="14"/>
              </w:rPr>
              <w:t>88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42F590D" w14:textId="77777777" w:rsidR="00855241" w:rsidRPr="00BC5284" w:rsidRDefault="00855241">
            <w:pPr>
              <w:pStyle w:val="TableTextStocktake"/>
              <w:jc w:val="right"/>
            </w:pPr>
            <w:r w:rsidRPr="00BC5284">
              <w:rPr>
                <w:sz w:val="14"/>
                <w:szCs w:val="14"/>
              </w:rPr>
              <w:t>1,135</w:t>
            </w:r>
          </w:p>
        </w:tc>
      </w:tr>
      <w:tr w:rsidR="00855241" w:rsidRPr="00BC5284" w14:paraId="44D5719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645AB6" w14:textId="77777777" w:rsidR="00855241" w:rsidRPr="00BC5284" w:rsidRDefault="00855241">
            <w:pPr>
              <w:pStyle w:val="TableTextStocktake"/>
            </w:pPr>
            <w:r w:rsidRPr="00BC5284">
              <w:rPr>
                <w:sz w:val="14"/>
                <w:szCs w:val="14"/>
              </w:rPr>
              <w:t>Murrindindi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F8AFF1"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827063" w14:textId="77777777" w:rsidR="00855241" w:rsidRPr="00BC5284" w:rsidRDefault="00855241">
            <w:pPr>
              <w:pStyle w:val="TableTextStocktake"/>
              <w:jc w:val="right"/>
            </w:pPr>
            <w:r w:rsidRPr="00BC5284">
              <w:rPr>
                <w:sz w:val="14"/>
                <w:szCs w:val="14"/>
              </w:rPr>
              <w:t>3,880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1E7CE1" w14:textId="77777777" w:rsidR="00855241" w:rsidRPr="00BC5284" w:rsidRDefault="00855241">
            <w:pPr>
              <w:pStyle w:val="TableTextStocktake"/>
              <w:jc w:val="right"/>
            </w:pPr>
            <w:r w:rsidRPr="00BC5284">
              <w:rPr>
                <w:sz w:val="14"/>
                <w:szCs w:val="14"/>
              </w:rPr>
              <w:t>14,478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A98167"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D63910" w14:textId="77777777" w:rsidR="00855241" w:rsidRPr="00BC5284" w:rsidRDefault="00855241">
            <w:pPr>
              <w:pStyle w:val="TableTextStocktake"/>
              <w:jc w:val="right"/>
            </w:pPr>
            <w:r w:rsidRPr="00BC5284">
              <w:rPr>
                <w:sz w:val="14"/>
                <w:szCs w:val="14"/>
              </w:rPr>
              <w:t>93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58032F" w14:textId="77777777" w:rsidR="00855241" w:rsidRPr="00BC5284" w:rsidRDefault="00855241">
            <w:pPr>
              <w:pStyle w:val="TableTextStocktake"/>
              <w:jc w:val="right"/>
            </w:pPr>
            <w:r w:rsidRPr="00BC5284">
              <w:rPr>
                <w:sz w:val="14"/>
                <w:szCs w:val="14"/>
              </w:rPr>
              <w:t>100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7F2341" w14:textId="77777777" w:rsidR="00855241" w:rsidRPr="00BC5284" w:rsidRDefault="00855241">
            <w:pPr>
              <w:pStyle w:val="TableTextStocktake"/>
              <w:jc w:val="right"/>
            </w:pPr>
            <w:r w:rsidRPr="00BC5284">
              <w:rPr>
                <w:sz w:val="14"/>
                <w:szCs w:val="14"/>
              </w:rPr>
              <w:t>4</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782DC9" w14:textId="77777777" w:rsidR="00855241" w:rsidRPr="00BC5284" w:rsidRDefault="00855241">
            <w:pPr>
              <w:pStyle w:val="TableTextStocktake"/>
              <w:jc w:val="right"/>
            </w:pPr>
            <w:r w:rsidRPr="00BC5284">
              <w:rPr>
                <w:sz w:val="14"/>
                <w:szCs w:val="14"/>
              </w:rPr>
              <w:t>104</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7814233" w14:textId="77777777" w:rsidR="00855241" w:rsidRPr="00BC5284" w:rsidRDefault="00855241">
            <w:pPr>
              <w:pStyle w:val="TableTextStocktake"/>
              <w:jc w:val="right"/>
            </w:pPr>
            <w:r w:rsidRPr="00BC5284">
              <w:rPr>
                <w:sz w:val="14"/>
                <w:szCs w:val="14"/>
              </w:rPr>
              <w:t>421</w:t>
            </w:r>
          </w:p>
        </w:tc>
      </w:tr>
      <w:tr w:rsidR="00855241" w:rsidRPr="00BC5284" w14:paraId="30A918B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74CB76" w14:textId="77777777" w:rsidR="00855241" w:rsidRPr="00BC5284" w:rsidRDefault="00855241">
            <w:pPr>
              <w:pStyle w:val="TableTextStocktake"/>
            </w:pPr>
            <w:r w:rsidRPr="00BC5284">
              <w:rPr>
                <w:sz w:val="14"/>
                <w:szCs w:val="14"/>
              </w:rPr>
              <w:t>Nillumbik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AE3A84"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07D32F" w14:textId="77777777" w:rsidR="00855241" w:rsidRPr="00BC5284" w:rsidRDefault="00855241">
            <w:pPr>
              <w:pStyle w:val="TableTextStocktake"/>
              <w:jc w:val="right"/>
            </w:pPr>
            <w:r w:rsidRPr="00BC5284">
              <w:rPr>
                <w:sz w:val="14"/>
                <w:szCs w:val="14"/>
              </w:rPr>
              <w:t>432</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3DAE3A" w14:textId="77777777" w:rsidR="00855241" w:rsidRPr="00BC5284" w:rsidRDefault="00855241">
            <w:pPr>
              <w:pStyle w:val="TableTextStocktake"/>
              <w:jc w:val="right"/>
            </w:pPr>
            <w:r w:rsidRPr="00BC5284">
              <w:rPr>
                <w:sz w:val="14"/>
                <w:szCs w:val="14"/>
              </w:rPr>
              <w:t>64,941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51E674"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029B87" w14:textId="77777777" w:rsidR="00855241" w:rsidRPr="00BC5284" w:rsidRDefault="00855241">
            <w:pPr>
              <w:pStyle w:val="TableTextStocktake"/>
              <w:jc w:val="right"/>
            </w:pPr>
            <w:r w:rsidRPr="00BC5284">
              <w:rPr>
                <w:sz w:val="14"/>
                <w:szCs w:val="14"/>
              </w:rPr>
              <w:t>245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15440A" w14:textId="77777777" w:rsidR="00855241" w:rsidRPr="00BC5284" w:rsidRDefault="00855241">
            <w:pPr>
              <w:pStyle w:val="TableTextStocktake"/>
              <w:jc w:val="right"/>
            </w:pPr>
            <w:r w:rsidRPr="00BC5284">
              <w:rPr>
                <w:sz w:val="14"/>
                <w:szCs w:val="14"/>
              </w:rPr>
              <w:t>252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DFFDBC"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161ECA" w14:textId="77777777" w:rsidR="00855241" w:rsidRPr="00BC5284" w:rsidRDefault="00855241">
            <w:pPr>
              <w:pStyle w:val="TableTextStocktake"/>
              <w:jc w:val="right"/>
            </w:pPr>
            <w:r w:rsidRPr="00BC5284">
              <w:rPr>
                <w:sz w:val="14"/>
                <w:szCs w:val="14"/>
              </w:rPr>
              <w:t>252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EA81136" w14:textId="77777777" w:rsidR="00855241" w:rsidRPr="00BC5284" w:rsidRDefault="00855241">
            <w:pPr>
              <w:pStyle w:val="TableTextStocktake"/>
              <w:jc w:val="right"/>
            </w:pPr>
            <w:r w:rsidRPr="00BC5284">
              <w:rPr>
                <w:sz w:val="14"/>
                <w:szCs w:val="14"/>
              </w:rPr>
              <w:t>435</w:t>
            </w:r>
          </w:p>
        </w:tc>
      </w:tr>
      <w:tr w:rsidR="00855241" w:rsidRPr="00BC5284" w14:paraId="20E58A0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24EA22" w14:textId="77777777" w:rsidR="00855241" w:rsidRPr="00BC5284" w:rsidRDefault="00855241">
            <w:pPr>
              <w:pStyle w:val="TableTextStocktake"/>
            </w:pPr>
            <w:r w:rsidRPr="00BC5284">
              <w:rPr>
                <w:sz w:val="14"/>
                <w:szCs w:val="14"/>
              </w:rPr>
              <w:t>Northern Grampians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36FE28"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C11C47" w14:textId="77777777" w:rsidR="00855241" w:rsidRPr="00BC5284" w:rsidRDefault="00855241">
            <w:pPr>
              <w:pStyle w:val="TableTextStocktake"/>
              <w:jc w:val="right"/>
            </w:pPr>
            <w:r w:rsidRPr="00BC5284">
              <w:rPr>
                <w:sz w:val="14"/>
                <w:szCs w:val="14"/>
              </w:rPr>
              <w:t>5,730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6677CD" w14:textId="77777777" w:rsidR="00855241" w:rsidRPr="00BC5284" w:rsidRDefault="00855241">
            <w:pPr>
              <w:pStyle w:val="TableTextStocktake"/>
              <w:jc w:val="right"/>
            </w:pPr>
            <w:r w:rsidRPr="00BC5284">
              <w:rPr>
                <w:sz w:val="14"/>
                <w:szCs w:val="14"/>
              </w:rPr>
              <w:t>11,431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0EF387" w14:textId="77777777" w:rsidR="00855241" w:rsidRPr="00BC5284" w:rsidRDefault="00855241">
            <w:pPr>
              <w:pStyle w:val="TableTextStocktake"/>
              <w:jc w:val="right"/>
            </w:pPr>
            <w:r w:rsidRPr="00BC5284">
              <w:rPr>
                <w:sz w:val="14"/>
                <w:szCs w:val="14"/>
              </w:rPr>
              <w:t>18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A15CC8" w14:textId="77777777" w:rsidR="00855241" w:rsidRPr="00BC5284" w:rsidRDefault="00855241">
            <w:pPr>
              <w:pStyle w:val="TableTextStocktake"/>
              <w:jc w:val="right"/>
            </w:pPr>
            <w:r w:rsidRPr="00BC5284">
              <w:rPr>
                <w:sz w:val="14"/>
                <w:szCs w:val="14"/>
              </w:rPr>
              <w:t>15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713D38" w14:textId="77777777" w:rsidR="00855241" w:rsidRPr="00BC5284" w:rsidRDefault="00855241">
            <w:pPr>
              <w:pStyle w:val="TableTextStocktake"/>
              <w:jc w:val="right"/>
            </w:pPr>
            <w:r w:rsidRPr="00BC5284">
              <w:rPr>
                <w:sz w:val="14"/>
                <w:szCs w:val="14"/>
              </w:rPr>
              <w:t>33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468201"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F65986" w14:textId="77777777" w:rsidR="00855241" w:rsidRPr="00BC5284" w:rsidRDefault="00855241">
            <w:pPr>
              <w:pStyle w:val="TableTextStocktake"/>
              <w:jc w:val="right"/>
            </w:pPr>
            <w:r w:rsidRPr="00BC5284">
              <w:rPr>
                <w:sz w:val="14"/>
                <w:szCs w:val="14"/>
              </w:rPr>
              <w:t>33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AD53881" w14:textId="77777777" w:rsidR="00855241" w:rsidRPr="00BC5284" w:rsidRDefault="00855241">
            <w:pPr>
              <w:pStyle w:val="TableTextStocktake"/>
              <w:jc w:val="right"/>
            </w:pPr>
            <w:r w:rsidRPr="00BC5284">
              <w:rPr>
                <w:sz w:val="14"/>
                <w:szCs w:val="14"/>
              </w:rPr>
              <w:t>43</w:t>
            </w:r>
          </w:p>
        </w:tc>
      </w:tr>
      <w:tr w:rsidR="00855241" w:rsidRPr="00BC5284" w14:paraId="36BECB38"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EBF360" w14:textId="77777777" w:rsidR="00855241" w:rsidRPr="00BC5284" w:rsidRDefault="00855241">
            <w:pPr>
              <w:pStyle w:val="TableTextStocktake"/>
            </w:pPr>
            <w:r w:rsidRPr="00BC5284">
              <w:rPr>
                <w:sz w:val="14"/>
                <w:szCs w:val="14"/>
              </w:rPr>
              <w:t>Port Phillip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E46765"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5F4609" w14:textId="77777777" w:rsidR="00855241" w:rsidRPr="00BC5284" w:rsidRDefault="00855241">
            <w:pPr>
              <w:pStyle w:val="TableTextStocktake"/>
              <w:jc w:val="right"/>
            </w:pPr>
            <w:r w:rsidRPr="00BC5284">
              <w:rPr>
                <w:sz w:val="14"/>
                <w:szCs w:val="14"/>
              </w:rPr>
              <w:t>21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0EB7E4" w14:textId="77777777" w:rsidR="00855241" w:rsidRPr="00BC5284" w:rsidRDefault="00855241">
            <w:pPr>
              <w:pStyle w:val="TableTextStocktake"/>
              <w:jc w:val="right"/>
            </w:pPr>
            <w:r w:rsidRPr="00BC5284">
              <w:rPr>
                <w:sz w:val="14"/>
                <w:szCs w:val="14"/>
              </w:rPr>
              <w:t>113,200</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B15988" w14:textId="77777777" w:rsidR="00855241" w:rsidRPr="00BC5284" w:rsidRDefault="00855241">
            <w:pPr>
              <w:pStyle w:val="TableTextStocktake"/>
              <w:jc w:val="right"/>
            </w:pPr>
            <w:r w:rsidRPr="00BC5284">
              <w:rPr>
                <w:sz w:val="14"/>
                <w:szCs w:val="14"/>
              </w:rPr>
              <w:t>133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C4769E" w14:textId="77777777" w:rsidR="00855241" w:rsidRPr="00BC5284" w:rsidRDefault="00855241">
            <w:pPr>
              <w:pStyle w:val="TableTextStocktake"/>
              <w:jc w:val="right"/>
            </w:pPr>
            <w:r w:rsidRPr="00BC5284">
              <w:rPr>
                <w:sz w:val="14"/>
                <w:szCs w:val="14"/>
              </w:rPr>
              <w:t>288</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077EC9" w14:textId="77777777" w:rsidR="00855241" w:rsidRPr="00BC5284" w:rsidRDefault="00855241">
            <w:pPr>
              <w:pStyle w:val="TableTextStocktake"/>
              <w:jc w:val="right"/>
            </w:pPr>
            <w:r w:rsidRPr="00BC5284">
              <w:rPr>
                <w:sz w:val="14"/>
                <w:szCs w:val="14"/>
              </w:rPr>
              <w:t>421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97DABC" w14:textId="77777777" w:rsidR="00855241" w:rsidRPr="00BC5284" w:rsidRDefault="00855241">
            <w:pPr>
              <w:pStyle w:val="TableTextStocktake"/>
              <w:jc w:val="right"/>
            </w:pPr>
            <w:r w:rsidRPr="00BC5284">
              <w:rPr>
                <w:sz w:val="14"/>
                <w:szCs w:val="14"/>
              </w:rPr>
              <w:t>35</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AF1F90" w14:textId="77777777" w:rsidR="00855241" w:rsidRPr="00BC5284" w:rsidRDefault="00855241">
            <w:pPr>
              <w:pStyle w:val="TableTextStocktake"/>
              <w:jc w:val="right"/>
            </w:pPr>
            <w:r w:rsidRPr="00BC5284">
              <w:rPr>
                <w:sz w:val="14"/>
                <w:szCs w:val="14"/>
              </w:rPr>
              <w:t>456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D5A92CF" w14:textId="77777777" w:rsidR="00855241" w:rsidRPr="00BC5284" w:rsidRDefault="00855241">
            <w:pPr>
              <w:pStyle w:val="TableTextStocktake"/>
              <w:jc w:val="right"/>
            </w:pPr>
            <w:r w:rsidRPr="00BC5284">
              <w:rPr>
                <w:sz w:val="14"/>
                <w:szCs w:val="14"/>
              </w:rPr>
              <w:t>16,878</w:t>
            </w:r>
          </w:p>
        </w:tc>
      </w:tr>
      <w:tr w:rsidR="00855241" w:rsidRPr="00BC5284" w14:paraId="455E73A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86E9C7" w14:textId="77777777" w:rsidR="00855241" w:rsidRPr="00BC5284" w:rsidRDefault="00855241">
            <w:pPr>
              <w:pStyle w:val="TableTextStocktake"/>
            </w:pPr>
            <w:r w:rsidRPr="00BC5284">
              <w:rPr>
                <w:sz w:val="14"/>
                <w:szCs w:val="14"/>
              </w:rPr>
              <w:t>Pyrenees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C3473D"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90E817" w14:textId="77777777" w:rsidR="00855241" w:rsidRPr="00BC5284" w:rsidRDefault="00855241">
            <w:pPr>
              <w:pStyle w:val="TableTextStocktake"/>
              <w:jc w:val="right"/>
            </w:pPr>
            <w:r w:rsidRPr="00BC5284">
              <w:rPr>
                <w:sz w:val="14"/>
                <w:szCs w:val="14"/>
              </w:rPr>
              <w:t>3,435</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24C100" w14:textId="77777777" w:rsidR="00855241" w:rsidRPr="00BC5284" w:rsidRDefault="00855241">
            <w:pPr>
              <w:pStyle w:val="TableTextStocktake"/>
              <w:jc w:val="right"/>
            </w:pPr>
            <w:r w:rsidRPr="00BC5284">
              <w:rPr>
                <w:sz w:val="14"/>
                <w:szCs w:val="14"/>
              </w:rPr>
              <w:t>7,353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0D0694" w14:textId="77777777" w:rsidR="00855241" w:rsidRPr="00BC5284" w:rsidRDefault="00855241">
            <w:pPr>
              <w:pStyle w:val="TableTextStocktake"/>
              <w:jc w:val="right"/>
            </w:pPr>
            <w:r w:rsidRPr="00BC5284">
              <w:rPr>
                <w:sz w:val="14"/>
                <w:szCs w:val="14"/>
              </w:rPr>
              <w:t>22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C20C9E" w14:textId="77777777" w:rsidR="00855241" w:rsidRPr="00BC5284" w:rsidRDefault="00855241">
            <w:pPr>
              <w:pStyle w:val="TableTextStocktake"/>
              <w:jc w:val="right"/>
            </w:pPr>
            <w:r w:rsidRPr="00BC5284">
              <w:rPr>
                <w:sz w:val="14"/>
                <w:szCs w:val="14"/>
              </w:rPr>
              <w:t>65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6AF3B9" w14:textId="77777777" w:rsidR="00855241" w:rsidRPr="00BC5284" w:rsidRDefault="00855241">
            <w:pPr>
              <w:pStyle w:val="TableTextStocktake"/>
              <w:jc w:val="right"/>
            </w:pPr>
            <w:r w:rsidRPr="00BC5284">
              <w:rPr>
                <w:sz w:val="14"/>
                <w:szCs w:val="14"/>
              </w:rPr>
              <w:t>87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14D061" w14:textId="77777777" w:rsidR="00855241" w:rsidRPr="00BC5284" w:rsidRDefault="00855241">
            <w:pPr>
              <w:pStyle w:val="TableTextStocktake"/>
              <w:jc w:val="right"/>
            </w:pPr>
            <w:r w:rsidRPr="00BC5284">
              <w:rPr>
                <w:sz w:val="14"/>
                <w:szCs w:val="14"/>
              </w:rPr>
              <w:t>11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8B00B8" w14:textId="77777777" w:rsidR="00855241" w:rsidRPr="00BC5284" w:rsidRDefault="00855241">
            <w:pPr>
              <w:pStyle w:val="TableTextStocktake"/>
              <w:jc w:val="right"/>
            </w:pPr>
            <w:r w:rsidRPr="00BC5284">
              <w:rPr>
                <w:sz w:val="14"/>
                <w:szCs w:val="14"/>
              </w:rPr>
              <w:t>98</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2A74066" w14:textId="77777777" w:rsidR="00855241" w:rsidRPr="00BC5284" w:rsidRDefault="00855241">
            <w:pPr>
              <w:pStyle w:val="TableTextStocktake"/>
              <w:jc w:val="right"/>
            </w:pPr>
            <w:r w:rsidRPr="00BC5284">
              <w:rPr>
                <w:sz w:val="14"/>
                <w:szCs w:val="14"/>
              </w:rPr>
              <w:t>496</w:t>
            </w:r>
          </w:p>
        </w:tc>
      </w:tr>
      <w:tr w:rsidR="00855241" w:rsidRPr="00BC5284" w14:paraId="52A75E68"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889FE5" w14:textId="77777777" w:rsidR="00855241" w:rsidRPr="00BC5284" w:rsidRDefault="00855241">
            <w:pPr>
              <w:pStyle w:val="TableTextStocktake"/>
            </w:pPr>
            <w:r w:rsidRPr="00BC5284">
              <w:rPr>
                <w:sz w:val="14"/>
                <w:szCs w:val="14"/>
              </w:rPr>
              <w:t>Queenscliffe (B)</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6AEB2F"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CD3F7F" w14:textId="77777777" w:rsidR="00855241" w:rsidRPr="00BC5284" w:rsidRDefault="00855241">
            <w:pPr>
              <w:pStyle w:val="TableTextStocktake"/>
              <w:jc w:val="right"/>
            </w:pPr>
            <w:r w:rsidRPr="00BC5284">
              <w:rPr>
                <w:sz w:val="14"/>
                <w:szCs w:val="14"/>
              </w:rPr>
              <w:t>9</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09A14F" w14:textId="77777777" w:rsidR="00855241" w:rsidRPr="00BC5284" w:rsidRDefault="00855241">
            <w:pPr>
              <w:pStyle w:val="TableTextStocktake"/>
              <w:jc w:val="right"/>
            </w:pPr>
            <w:r w:rsidRPr="00BC5284">
              <w:rPr>
                <w:sz w:val="14"/>
                <w:szCs w:val="14"/>
              </w:rPr>
              <w:t>2,982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7E3A0E" w14:textId="77777777" w:rsidR="00855241" w:rsidRPr="00BC5284" w:rsidRDefault="00855241">
            <w:pPr>
              <w:pStyle w:val="TableTextStocktake"/>
              <w:jc w:val="right"/>
            </w:pPr>
            <w:r w:rsidRPr="00BC5284">
              <w:rPr>
                <w:sz w:val="14"/>
                <w:szCs w:val="14"/>
              </w:rPr>
              <w:t>15</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85E335" w14:textId="77777777" w:rsidR="00855241" w:rsidRPr="00BC5284" w:rsidRDefault="00855241">
            <w:pPr>
              <w:pStyle w:val="TableTextStocktake"/>
              <w:jc w:val="right"/>
            </w:pPr>
            <w:r w:rsidRPr="00BC5284">
              <w:rPr>
                <w:sz w:val="14"/>
                <w:szCs w:val="14"/>
              </w:rPr>
              <w:t>121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6A43F7" w14:textId="77777777" w:rsidR="00855241" w:rsidRPr="00BC5284" w:rsidRDefault="00855241">
            <w:pPr>
              <w:pStyle w:val="TableTextStocktake"/>
              <w:jc w:val="right"/>
            </w:pPr>
            <w:r w:rsidRPr="00BC5284">
              <w:rPr>
                <w:sz w:val="14"/>
                <w:szCs w:val="14"/>
              </w:rPr>
              <w:t>136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BE4129" w14:textId="77777777" w:rsidR="00855241" w:rsidRPr="00BC5284" w:rsidRDefault="00855241">
            <w:pPr>
              <w:pStyle w:val="TableTextStocktake"/>
              <w:jc w:val="right"/>
            </w:pPr>
            <w:r w:rsidRPr="00BC5284">
              <w:rPr>
                <w:sz w:val="14"/>
                <w:szCs w:val="14"/>
              </w:rPr>
              <w:t>11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D6810F" w14:textId="77777777" w:rsidR="00855241" w:rsidRPr="00BC5284" w:rsidRDefault="00855241">
            <w:pPr>
              <w:pStyle w:val="TableTextStocktake"/>
              <w:jc w:val="right"/>
            </w:pPr>
            <w:r w:rsidRPr="00BC5284">
              <w:rPr>
                <w:sz w:val="14"/>
                <w:szCs w:val="14"/>
              </w:rPr>
              <w:t>147</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021FB03" w14:textId="77777777" w:rsidR="00855241" w:rsidRPr="00BC5284" w:rsidRDefault="00855241">
            <w:pPr>
              <w:pStyle w:val="TableTextStocktake"/>
              <w:jc w:val="right"/>
            </w:pPr>
            <w:r w:rsidRPr="00BC5284">
              <w:rPr>
                <w:sz w:val="14"/>
                <w:szCs w:val="14"/>
              </w:rPr>
              <w:t>717</w:t>
            </w:r>
          </w:p>
        </w:tc>
      </w:tr>
      <w:tr w:rsidR="00855241" w:rsidRPr="00BC5284" w14:paraId="164CD57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DD9E15" w14:textId="77777777" w:rsidR="00855241" w:rsidRPr="00BC5284" w:rsidRDefault="00855241">
            <w:pPr>
              <w:pStyle w:val="TableTextStocktake"/>
            </w:pPr>
            <w:r w:rsidRPr="00BC5284">
              <w:rPr>
                <w:sz w:val="14"/>
                <w:szCs w:val="14"/>
              </w:rPr>
              <w:t>South Gippsland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0697D2"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FB2770" w14:textId="77777777" w:rsidR="00855241" w:rsidRPr="00BC5284" w:rsidRDefault="00855241">
            <w:pPr>
              <w:pStyle w:val="TableTextStocktake"/>
              <w:jc w:val="right"/>
            </w:pPr>
            <w:r w:rsidRPr="00BC5284">
              <w:rPr>
                <w:sz w:val="14"/>
                <w:szCs w:val="14"/>
              </w:rPr>
              <w:t>3,296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24A67E" w14:textId="77777777" w:rsidR="00855241" w:rsidRPr="00BC5284" w:rsidRDefault="00855241">
            <w:pPr>
              <w:pStyle w:val="TableTextStocktake"/>
              <w:jc w:val="right"/>
            </w:pPr>
            <w:r w:rsidRPr="00BC5284">
              <w:rPr>
                <w:sz w:val="14"/>
                <w:szCs w:val="14"/>
              </w:rPr>
              <w:t>29,576</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13E919" w14:textId="77777777" w:rsidR="00855241" w:rsidRPr="00BC5284" w:rsidRDefault="00855241">
            <w:pPr>
              <w:pStyle w:val="TableTextStocktake"/>
              <w:jc w:val="right"/>
            </w:pPr>
            <w:r w:rsidRPr="00BC5284">
              <w:rPr>
                <w:sz w:val="14"/>
                <w:szCs w:val="14"/>
              </w:rPr>
              <w:t>9</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E215D5" w14:textId="77777777" w:rsidR="00855241" w:rsidRPr="00BC5284" w:rsidRDefault="00855241">
            <w:pPr>
              <w:pStyle w:val="TableTextStocktake"/>
              <w:jc w:val="right"/>
            </w:pPr>
            <w:r w:rsidRPr="00BC5284">
              <w:rPr>
                <w:sz w:val="14"/>
                <w:szCs w:val="14"/>
              </w:rPr>
              <w:t>97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6C7D98" w14:textId="77777777" w:rsidR="00855241" w:rsidRPr="00BC5284" w:rsidRDefault="00855241">
            <w:pPr>
              <w:pStyle w:val="TableTextStocktake"/>
              <w:jc w:val="right"/>
            </w:pPr>
            <w:r w:rsidRPr="00BC5284">
              <w:rPr>
                <w:sz w:val="14"/>
                <w:szCs w:val="14"/>
              </w:rPr>
              <w:t>106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1B1BBD"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04149B" w14:textId="77777777" w:rsidR="00855241" w:rsidRPr="00BC5284" w:rsidRDefault="00855241">
            <w:pPr>
              <w:pStyle w:val="TableTextStocktake"/>
              <w:jc w:val="right"/>
            </w:pPr>
            <w:r w:rsidRPr="00BC5284">
              <w:rPr>
                <w:sz w:val="14"/>
                <w:szCs w:val="14"/>
              </w:rPr>
              <w:t>106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99723FF" w14:textId="77777777" w:rsidR="00855241" w:rsidRPr="00BC5284" w:rsidRDefault="00855241">
            <w:pPr>
              <w:pStyle w:val="TableTextStocktake"/>
              <w:jc w:val="right"/>
            </w:pPr>
            <w:r w:rsidRPr="00BC5284">
              <w:rPr>
                <w:sz w:val="14"/>
                <w:szCs w:val="14"/>
              </w:rPr>
              <w:t>137</w:t>
            </w:r>
          </w:p>
        </w:tc>
      </w:tr>
      <w:tr w:rsidR="00855241" w:rsidRPr="00BC5284" w14:paraId="3529F668"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A6ECD0" w14:textId="77777777" w:rsidR="00855241" w:rsidRPr="00BC5284" w:rsidRDefault="00855241">
            <w:pPr>
              <w:pStyle w:val="TableTextStocktake"/>
            </w:pPr>
            <w:r w:rsidRPr="00BC5284">
              <w:rPr>
                <w:sz w:val="14"/>
                <w:szCs w:val="14"/>
              </w:rPr>
              <w:t>Southern Grampians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AD79737"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D106E6" w14:textId="77777777" w:rsidR="00855241" w:rsidRPr="00BC5284" w:rsidRDefault="00855241">
            <w:pPr>
              <w:pStyle w:val="TableTextStocktake"/>
              <w:jc w:val="right"/>
            </w:pPr>
            <w:r w:rsidRPr="00BC5284">
              <w:rPr>
                <w:sz w:val="14"/>
                <w:szCs w:val="14"/>
              </w:rPr>
              <w:t>6,654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02914E" w14:textId="77777777" w:rsidR="00855241" w:rsidRPr="00BC5284" w:rsidRDefault="00855241">
            <w:pPr>
              <w:pStyle w:val="TableTextStocktake"/>
              <w:jc w:val="right"/>
            </w:pPr>
            <w:r w:rsidRPr="00BC5284">
              <w:rPr>
                <w:sz w:val="14"/>
                <w:szCs w:val="14"/>
              </w:rPr>
              <w:t>16,135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8D1874" w14:textId="77777777" w:rsidR="00855241" w:rsidRPr="00BC5284" w:rsidRDefault="00855241">
            <w:pPr>
              <w:pStyle w:val="TableTextStocktake"/>
              <w:jc w:val="right"/>
            </w:pPr>
            <w:r w:rsidRPr="00BC5284">
              <w:rPr>
                <w:sz w:val="14"/>
                <w:szCs w:val="14"/>
              </w:rPr>
              <w:t>21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F0000A" w14:textId="77777777" w:rsidR="00855241" w:rsidRPr="00BC5284" w:rsidRDefault="00855241">
            <w:pPr>
              <w:pStyle w:val="TableTextStocktake"/>
              <w:jc w:val="right"/>
            </w:pPr>
            <w:r w:rsidRPr="00BC5284">
              <w:rPr>
                <w:sz w:val="14"/>
                <w:szCs w:val="14"/>
              </w:rPr>
              <w:t>501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3E8108" w14:textId="77777777" w:rsidR="00855241" w:rsidRPr="00BC5284" w:rsidRDefault="00855241">
            <w:pPr>
              <w:pStyle w:val="TableTextStocktake"/>
              <w:jc w:val="right"/>
            </w:pPr>
            <w:r w:rsidRPr="00BC5284">
              <w:rPr>
                <w:sz w:val="14"/>
                <w:szCs w:val="14"/>
              </w:rPr>
              <w:t>522</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E9046C" w14:textId="77777777" w:rsidR="00855241" w:rsidRPr="00BC5284" w:rsidRDefault="00855241">
            <w:pPr>
              <w:pStyle w:val="TableTextStocktake"/>
              <w:jc w:val="right"/>
            </w:pPr>
            <w:r w:rsidRPr="00BC5284">
              <w:rPr>
                <w:sz w:val="14"/>
                <w:szCs w:val="14"/>
              </w:rPr>
              <w:t>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5B6818" w14:textId="77777777" w:rsidR="00855241" w:rsidRPr="00BC5284" w:rsidRDefault="00855241">
            <w:pPr>
              <w:pStyle w:val="TableTextStocktake"/>
              <w:jc w:val="right"/>
            </w:pPr>
            <w:r w:rsidRPr="00BC5284">
              <w:rPr>
                <w:sz w:val="14"/>
                <w:szCs w:val="14"/>
              </w:rPr>
              <w:t>525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AB537CA" w14:textId="77777777" w:rsidR="00855241" w:rsidRPr="00BC5284" w:rsidRDefault="00855241">
            <w:pPr>
              <w:pStyle w:val="TableTextStocktake"/>
              <w:jc w:val="right"/>
            </w:pPr>
            <w:r w:rsidRPr="00BC5284">
              <w:rPr>
                <w:sz w:val="14"/>
                <w:szCs w:val="14"/>
              </w:rPr>
              <w:t>989</w:t>
            </w:r>
          </w:p>
        </w:tc>
      </w:tr>
      <w:tr w:rsidR="00855241" w:rsidRPr="00BC5284" w14:paraId="4EF10C8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5DECC33" w14:textId="77777777" w:rsidR="00855241" w:rsidRPr="00BC5284" w:rsidRDefault="00855241">
            <w:pPr>
              <w:pStyle w:val="TableTextStocktake"/>
            </w:pPr>
            <w:r w:rsidRPr="00BC5284">
              <w:rPr>
                <w:sz w:val="14"/>
                <w:szCs w:val="14"/>
              </w:rPr>
              <w:t>Stonnington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4C80E3"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4F985CA" w14:textId="77777777" w:rsidR="00855241" w:rsidRPr="00BC5284" w:rsidRDefault="00855241">
            <w:pPr>
              <w:pStyle w:val="TableTextStocktake"/>
              <w:jc w:val="right"/>
            </w:pPr>
            <w:r w:rsidRPr="00BC5284">
              <w:rPr>
                <w:sz w:val="14"/>
                <w:szCs w:val="14"/>
              </w:rPr>
              <w:t>26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8E8401" w14:textId="77777777" w:rsidR="00855241" w:rsidRPr="00BC5284" w:rsidRDefault="00855241">
            <w:pPr>
              <w:pStyle w:val="TableTextStocktake"/>
              <w:jc w:val="right"/>
            </w:pPr>
            <w:r w:rsidRPr="00BC5284">
              <w:rPr>
                <w:sz w:val="14"/>
                <w:szCs w:val="14"/>
              </w:rPr>
              <w:t>116,207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6AEA3D" w14:textId="77777777" w:rsidR="00855241" w:rsidRPr="00BC5284" w:rsidRDefault="00855241">
            <w:pPr>
              <w:pStyle w:val="TableTextStocktake"/>
              <w:jc w:val="right"/>
            </w:pPr>
            <w:r w:rsidRPr="00BC5284">
              <w:rPr>
                <w:sz w:val="14"/>
                <w:szCs w:val="14"/>
              </w:rPr>
              <w:t>55</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A8F1C4" w14:textId="77777777" w:rsidR="00855241" w:rsidRPr="00BC5284" w:rsidRDefault="00855241">
            <w:pPr>
              <w:pStyle w:val="TableTextStocktake"/>
              <w:jc w:val="right"/>
            </w:pPr>
            <w:r w:rsidRPr="00BC5284">
              <w:rPr>
                <w:sz w:val="14"/>
                <w:szCs w:val="14"/>
              </w:rPr>
              <w:t>372</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4FAA3E" w14:textId="77777777" w:rsidR="00855241" w:rsidRPr="00BC5284" w:rsidRDefault="00855241">
            <w:pPr>
              <w:pStyle w:val="TableTextStocktake"/>
              <w:jc w:val="right"/>
            </w:pPr>
            <w:r w:rsidRPr="00BC5284">
              <w:rPr>
                <w:sz w:val="14"/>
                <w:szCs w:val="14"/>
              </w:rPr>
              <w:t>427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42F5A5" w14:textId="77777777" w:rsidR="00855241" w:rsidRPr="00BC5284" w:rsidRDefault="00855241">
            <w:pPr>
              <w:pStyle w:val="TableTextStocktake"/>
              <w:jc w:val="right"/>
            </w:pPr>
            <w:r w:rsidRPr="00BC5284">
              <w:rPr>
                <w:sz w:val="14"/>
                <w:szCs w:val="14"/>
              </w:rPr>
              <w:t>85</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D6B513" w14:textId="77777777" w:rsidR="00855241" w:rsidRPr="00BC5284" w:rsidRDefault="00855241">
            <w:pPr>
              <w:pStyle w:val="TableTextStocktake"/>
              <w:jc w:val="right"/>
            </w:pPr>
            <w:r w:rsidRPr="00BC5284">
              <w:rPr>
                <w:sz w:val="14"/>
                <w:szCs w:val="14"/>
              </w:rPr>
              <w:t>512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6ED76BD" w14:textId="77777777" w:rsidR="00855241" w:rsidRPr="00BC5284" w:rsidRDefault="00855241">
            <w:pPr>
              <w:pStyle w:val="TableTextStocktake"/>
              <w:jc w:val="right"/>
            </w:pPr>
            <w:r w:rsidRPr="00BC5284">
              <w:rPr>
                <w:sz w:val="14"/>
                <w:szCs w:val="14"/>
              </w:rPr>
              <w:t>10,266</w:t>
            </w:r>
          </w:p>
        </w:tc>
      </w:tr>
      <w:tr w:rsidR="00855241" w:rsidRPr="00BC5284" w14:paraId="53CF2B6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7A3EAF" w14:textId="77777777" w:rsidR="00855241" w:rsidRPr="00BC5284" w:rsidRDefault="00855241">
            <w:pPr>
              <w:pStyle w:val="TableTextStocktake"/>
            </w:pPr>
            <w:r w:rsidRPr="00BC5284">
              <w:rPr>
                <w:sz w:val="14"/>
                <w:szCs w:val="14"/>
              </w:rPr>
              <w:t>Strathbogie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C3766C"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A2E593" w14:textId="77777777" w:rsidR="00855241" w:rsidRPr="00BC5284" w:rsidRDefault="00855241">
            <w:pPr>
              <w:pStyle w:val="TableTextStocktake"/>
              <w:jc w:val="right"/>
            </w:pPr>
            <w:r w:rsidRPr="00BC5284">
              <w:rPr>
                <w:sz w:val="14"/>
                <w:szCs w:val="14"/>
              </w:rPr>
              <w:t>3,303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4E1829" w14:textId="77777777" w:rsidR="00855241" w:rsidRPr="00BC5284" w:rsidRDefault="00855241">
            <w:pPr>
              <w:pStyle w:val="TableTextStocktake"/>
              <w:jc w:val="right"/>
            </w:pPr>
            <w:r w:rsidRPr="00BC5284">
              <w:rPr>
                <w:sz w:val="14"/>
                <w:szCs w:val="14"/>
              </w:rPr>
              <w:t>10,645</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01BBFB" w14:textId="77777777" w:rsidR="00855241" w:rsidRPr="00BC5284" w:rsidRDefault="00855241">
            <w:pPr>
              <w:pStyle w:val="TableTextStocktake"/>
              <w:jc w:val="right"/>
            </w:pPr>
            <w:r w:rsidRPr="00BC5284">
              <w:rPr>
                <w:sz w:val="14"/>
                <w:szCs w:val="14"/>
              </w:rPr>
              <w:t>15</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9552EB" w14:textId="77777777" w:rsidR="00855241" w:rsidRPr="00BC5284" w:rsidRDefault="00855241">
            <w:pPr>
              <w:pStyle w:val="TableTextStocktake"/>
              <w:jc w:val="right"/>
            </w:pPr>
            <w:r w:rsidRPr="00BC5284">
              <w:rPr>
                <w:sz w:val="14"/>
                <w:szCs w:val="14"/>
              </w:rPr>
              <w:t>70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9AC6D4" w14:textId="77777777" w:rsidR="00855241" w:rsidRPr="00BC5284" w:rsidRDefault="00855241">
            <w:pPr>
              <w:pStyle w:val="TableTextStocktake"/>
              <w:jc w:val="right"/>
            </w:pPr>
            <w:r w:rsidRPr="00BC5284">
              <w:rPr>
                <w:sz w:val="14"/>
                <w:szCs w:val="14"/>
              </w:rPr>
              <w:t>85</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CA9B78"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BB0602" w14:textId="77777777" w:rsidR="00855241" w:rsidRPr="00BC5284" w:rsidRDefault="00855241">
            <w:pPr>
              <w:pStyle w:val="TableTextStocktake"/>
              <w:jc w:val="right"/>
            </w:pPr>
            <w:r w:rsidRPr="00BC5284">
              <w:rPr>
                <w:sz w:val="14"/>
                <w:szCs w:val="14"/>
              </w:rPr>
              <w:t>85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8E27C80" w14:textId="77777777" w:rsidR="00855241" w:rsidRPr="00BC5284" w:rsidRDefault="00855241">
            <w:pPr>
              <w:pStyle w:val="TableTextStocktake"/>
              <w:jc w:val="right"/>
            </w:pPr>
            <w:r w:rsidRPr="00BC5284">
              <w:rPr>
                <w:sz w:val="14"/>
                <w:szCs w:val="14"/>
              </w:rPr>
              <w:t>117</w:t>
            </w:r>
          </w:p>
        </w:tc>
      </w:tr>
      <w:tr w:rsidR="00855241" w:rsidRPr="00BC5284" w14:paraId="12B69EA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C17772" w14:textId="77777777" w:rsidR="00855241" w:rsidRPr="00BC5284" w:rsidRDefault="00855241">
            <w:pPr>
              <w:pStyle w:val="TableTextStocktake"/>
            </w:pPr>
            <w:r w:rsidRPr="00BC5284">
              <w:rPr>
                <w:sz w:val="14"/>
                <w:szCs w:val="14"/>
              </w:rPr>
              <w:t>Surf Coast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102683"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A217C1" w14:textId="77777777" w:rsidR="00855241" w:rsidRPr="00BC5284" w:rsidRDefault="00855241">
            <w:pPr>
              <w:pStyle w:val="TableTextStocktake"/>
              <w:jc w:val="right"/>
            </w:pPr>
            <w:r w:rsidRPr="00BC5284">
              <w:rPr>
                <w:sz w:val="14"/>
                <w:szCs w:val="14"/>
              </w:rPr>
              <w:t>1,553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760860" w14:textId="77777777" w:rsidR="00855241" w:rsidRPr="00BC5284" w:rsidRDefault="00855241">
            <w:pPr>
              <w:pStyle w:val="TableTextStocktake"/>
              <w:jc w:val="right"/>
            </w:pPr>
            <w:r w:rsidRPr="00BC5284">
              <w:rPr>
                <w:sz w:val="14"/>
                <w:szCs w:val="14"/>
              </w:rPr>
              <w:t>32,251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2C2CBC" w14:textId="77777777" w:rsidR="00855241" w:rsidRPr="00BC5284" w:rsidRDefault="00855241">
            <w:pPr>
              <w:pStyle w:val="TableTextStocktake"/>
              <w:jc w:val="right"/>
            </w:pPr>
            <w:r w:rsidRPr="00BC5284">
              <w:rPr>
                <w:sz w:val="14"/>
                <w:szCs w:val="14"/>
              </w:rPr>
              <w:t>18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BCE451" w14:textId="77777777" w:rsidR="00855241" w:rsidRPr="00BC5284" w:rsidRDefault="00855241">
            <w:pPr>
              <w:pStyle w:val="TableTextStocktake"/>
              <w:jc w:val="right"/>
            </w:pPr>
            <w:r w:rsidRPr="00BC5284">
              <w:rPr>
                <w:sz w:val="14"/>
                <w:szCs w:val="14"/>
              </w:rPr>
              <w:t>127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8FBDDD" w14:textId="77777777" w:rsidR="00855241" w:rsidRPr="00BC5284" w:rsidRDefault="00855241">
            <w:pPr>
              <w:pStyle w:val="TableTextStocktake"/>
              <w:jc w:val="right"/>
            </w:pPr>
            <w:r w:rsidRPr="00BC5284">
              <w:rPr>
                <w:sz w:val="14"/>
                <w:szCs w:val="14"/>
              </w:rPr>
              <w:t>145</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7370DF"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BDED95" w14:textId="77777777" w:rsidR="00855241" w:rsidRPr="00BC5284" w:rsidRDefault="00855241">
            <w:pPr>
              <w:pStyle w:val="TableTextStocktake"/>
              <w:jc w:val="right"/>
            </w:pPr>
            <w:r w:rsidRPr="00BC5284">
              <w:rPr>
                <w:sz w:val="14"/>
                <w:szCs w:val="14"/>
              </w:rPr>
              <w:t>146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B504D6A" w14:textId="77777777" w:rsidR="00855241" w:rsidRPr="00BC5284" w:rsidRDefault="00855241">
            <w:pPr>
              <w:pStyle w:val="TableTextStocktake"/>
              <w:jc w:val="right"/>
            </w:pPr>
            <w:r w:rsidRPr="00BC5284">
              <w:rPr>
                <w:sz w:val="14"/>
                <w:szCs w:val="14"/>
              </w:rPr>
              <w:t>294</w:t>
            </w:r>
          </w:p>
        </w:tc>
      </w:tr>
      <w:tr w:rsidR="00855241" w:rsidRPr="00BC5284" w14:paraId="7F72747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F0F032" w14:textId="77777777" w:rsidR="00855241" w:rsidRPr="00BC5284" w:rsidRDefault="00855241">
            <w:pPr>
              <w:pStyle w:val="TableTextStocktake"/>
            </w:pPr>
            <w:r w:rsidRPr="00BC5284">
              <w:rPr>
                <w:sz w:val="14"/>
                <w:szCs w:val="14"/>
              </w:rPr>
              <w:t>Swan Hill (RC)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3B4FE1"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7460E7" w14:textId="77777777" w:rsidR="00855241" w:rsidRPr="00BC5284" w:rsidRDefault="00855241">
            <w:pPr>
              <w:pStyle w:val="TableTextStocktake"/>
              <w:jc w:val="right"/>
            </w:pPr>
            <w:r w:rsidRPr="00BC5284">
              <w:rPr>
                <w:sz w:val="14"/>
                <w:szCs w:val="14"/>
              </w:rPr>
              <w:t>6,115</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B6598E" w14:textId="77777777" w:rsidR="00855241" w:rsidRPr="00BC5284" w:rsidRDefault="00855241">
            <w:pPr>
              <w:pStyle w:val="TableTextStocktake"/>
              <w:jc w:val="right"/>
            </w:pPr>
            <w:r w:rsidRPr="00BC5284">
              <w:rPr>
                <w:sz w:val="14"/>
                <w:szCs w:val="14"/>
              </w:rPr>
              <w:t>20,759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967C0C" w14:textId="77777777" w:rsidR="00855241" w:rsidRPr="00BC5284" w:rsidRDefault="00855241">
            <w:pPr>
              <w:pStyle w:val="TableTextStocktake"/>
              <w:jc w:val="right"/>
            </w:pPr>
            <w:r w:rsidRPr="00BC5284">
              <w:rPr>
                <w:sz w:val="14"/>
                <w:szCs w:val="14"/>
              </w:rPr>
              <w:t>6</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219B92" w14:textId="77777777" w:rsidR="00855241" w:rsidRPr="00BC5284" w:rsidRDefault="00855241">
            <w:pPr>
              <w:pStyle w:val="TableTextStocktake"/>
              <w:jc w:val="right"/>
            </w:pPr>
            <w:r w:rsidRPr="00BC5284">
              <w:rPr>
                <w:sz w:val="14"/>
                <w:szCs w:val="14"/>
              </w:rPr>
              <w:t>193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5A0741" w14:textId="77777777" w:rsidR="00855241" w:rsidRPr="00BC5284" w:rsidRDefault="00855241">
            <w:pPr>
              <w:pStyle w:val="TableTextStocktake"/>
              <w:jc w:val="right"/>
            </w:pPr>
            <w:r w:rsidRPr="00BC5284">
              <w:rPr>
                <w:sz w:val="14"/>
                <w:szCs w:val="14"/>
              </w:rPr>
              <w:t>199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D532F0" w14:textId="77777777" w:rsidR="00855241" w:rsidRPr="00BC5284" w:rsidRDefault="00855241">
            <w:pPr>
              <w:pStyle w:val="TableTextStocktake"/>
              <w:jc w:val="right"/>
            </w:pPr>
            <w:r w:rsidRPr="00BC5284">
              <w:rPr>
                <w:sz w:val="14"/>
                <w:szCs w:val="14"/>
              </w:rPr>
              <w:t>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0FF15C" w14:textId="77777777" w:rsidR="00855241" w:rsidRPr="00BC5284" w:rsidRDefault="00855241">
            <w:pPr>
              <w:pStyle w:val="TableTextStocktake"/>
              <w:jc w:val="right"/>
            </w:pPr>
            <w:r w:rsidRPr="00BC5284">
              <w:rPr>
                <w:sz w:val="14"/>
                <w:szCs w:val="14"/>
              </w:rPr>
              <w:t>202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7AB3DE5" w14:textId="77777777" w:rsidR="00855241" w:rsidRPr="00BC5284" w:rsidRDefault="00855241">
            <w:pPr>
              <w:pStyle w:val="TableTextStocktake"/>
              <w:jc w:val="right"/>
            </w:pPr>
            <w:r w:rsidRPr="00BC5284">
              <w:rPr>
                <w:sz w:val="14"/>
                <w:szCs w:val="14"/>
              </w:rPr>
              <w:t>309</w:t>
            </w:r>
          </w:p>
        </w:tc>
      </w:tr>
      <w:tr w:rsidR="00855241" w:rsidRPr="00BC5284" w14:paraId="1CCF5E9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4EB3094" w14:textId="77777777" w:rsidR="00855241" w:rsidRPr="00BC5284" w:rsidRDefault="00855241">
            <w:pPr>
              <w:pStyle w:val="TableTextStocktake"/>
            </w:pPr>
            <w:r w:rsidRPr="00BC5284">
              <w:rPr>
                <w:sz w:val="14"/>
                <w:szCs w:val="14"/>
              </w:rPr>
              <w:t>Towong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B389E3"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BDA76C" w14:textId="77777777" w:rsidR="00855241" w:rsidRPr="00BC5284" w:rsidRDefault="00855241">
            <w:pPr>
              <w:pStyle w:val="TableTextStocktake"/>
              <w:jc w:val="right"/>
            </w:pPr>
            <w:r w:rsidRPr="00BC5284">
              <w:rPr>
                <w:sz w:val="14"/>
                <w:szCs w:val="14"/>
              </w:rPr>
              <w:t>6,675</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CCD1E6" w14:textId="77777777" w:rsidR="00855241" w:rsidRPr="00BC5284" w:rsidRDefault="00855241">
            <w:pPr>
              <w:pStyle w:val="TableTextStocktake"/>
              <w:jc w:val="right"/>
            </w:pPr>
            <w:r w:rsidRPr="00BC5284">
              <w:rPr>
                <w:sz w:val="14"/>
                <w:szCs w:val="14"/>
              </w:rPr>
              <w:t>6,054</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9D1B1A" w14:textId="77777777" w:rsidR="00855241" w:rsidRPr="00BC5284" w:rsidRDefault="00855241">
            <w:pPr>
              <w:pStyle w:val="TableTextStocktake"/>
              <w:jc w:val="right"/>
            </w:pPr>
            <w:r w:rsidRPr="00BC5284">
              <w:rPr>
                <w:sz w:val="14"/>
                <w:szCs w:val="14"/>
              </w:rPr>
              <w:t>10</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259747" w14:textId="77777777" w:rsidR="00855241" w:rsidRPr="00BC5284" w:rsidRDefault="00855241">
            <w:pPr>
              <w:pStyle w:val="TableTextStocktake"/>
              <w:jc w:val="right"/>
            </w:pPr>
            <w:r w:rsidRPr="00BC5284">
              <w:rPr>
                <w:sz w:val="14"/>
                <w:szCs w:val="14"/>
              </w:rPr>
              <w:t>87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2948C0" w14:textId="77777777" w:rsidR="00855241" w:rsidRPr="00BC5284" w:rsidRDefault="00855241">
            <w:pPr>
              <w:pStyle w:val="TableTextStocktake"/>
              <w:jc w:val="right"/>
            </w:pPr>
            <w:r w:rsidRPr="00BC5284">
              <w:rPr>
                <w:sz w:val="14"/>
                <w:szCs w:val="14"/>
              </w:rPr>
              <w:t>97</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D8ABF0" w14:textId="77777777" w:rsidR="00855241" w:rsidRPr="00BC5284" w:rsidRDefault="00855241">
            <w:pPr>
              <w:pStyle w:val="TableTextStocktake"/>
              <w:jc w:val="right"/>
            </w:pPr>
            <w:r w:rsidRPr="00BC5284">
              <w:rPr>
                <w:sz w:val="14"/>
                <w:szCs w:val="14"/>
              </w:rPr>
              <w:t>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490D40" w14:textId="77777777" w:rsidR="00855241" w:rsidRPr="00BC5284" w:rsidRDefault="00855241">
            <w:pPr>
              <w:pStyle w:val="TableTextStocktake"/>
              <w:jc w:val="right"/>
            </w:pPr>
            <w:r w:rsidRPr="00BC5284">
              <w:rPr>
                <w:sz w:val="14"/>
                <w:szCs w:val="14"/>
              </w:rPr>
              <w:t>99</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E8E1BDB" w14:textId="77777777" w:rsidR="00855241" w:rsidRPr="00BC5284" w:rsidRDefault="00855241">
            <w:pPr>
              <w:pStyle w:val="TableTextStocktake"/>
              <w:jc w:val="right"/>
            </w:pPr>
            <w:r w:rsidRPr="00BC5284">
              <w:rPr>
                <w:sz w:val="14"/>
                <w:szCs w:val="14"/>
              </w:rPr>
              <w:t>204</w:t>
            </w:r>
          </w:p>
        </w:tc>
      </w:tr>
      <w:tr w:rsidR="00855241" w:rsidRPr="00BC5284" w14:paraId="41B91D6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6CFCB5" w14:textId="77777777" w:rsidR="00855241" w:rsidRPr="00BC5284" w:rsidRDefault="00855241">
            <w:pPr>
              <w:pStyle w:val="TableTextStocktake"/>
            </w:pPr>
            <w:r w:rsidRPr="00BC5284">
              <w:rPr>
                <w:sz w:val="14"/>
                <w:szCs w:val="14"/>
              </w:rPr>
              <w:t>Wangaratta (RC)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277F87"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54145D" w14:textId="77777777" w:rsidR="00855241" w:rsidRPr="00BC5284" w:rsidRDefault="00855241">
            <w:pPr>
              <w:pStyle w:val="TableTextStocktake"/>
              <w:jc w:val="right"/>
            </w:pPr>
            <w:r w:rsidRPr="00BC5284">
              <w:rPr>
                <w:sz w:val="14"/>
                <w:szCs w:val="14"/>
              </w:rPr>
              <w:t>3,645</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9E2814" w14:textId="77777777" w:rsidR="00855241" w:rsidRPr="00BC5284" w:rsidRDefault="00855241">
            <w:pPr>
              <w:pStyle w:val="TableTextStocktake"/>
              <w:jc w:val="right"/>
            </w:pPr>
            <w:r w:rsidRPr="00BC5284">
              <w:rPr>
                <w:sz w:val="14"/>
                <w:szCs w:val="14"/>
              </w:rPr>
              <w:t>29,087</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743726" w14:textId="77777777" w:rsidR="00855241" w:rsidRPr="00BC5284" w:rsidRDefault="00855241">
            <w:pPr>
              <w:pStyle w:val="TableTextStocktake"/>
              <w:jc w:val="right"/>
            </w:pPr>
            <w:r w:rsidRPr="00BC5284">
              <w:rPr>
                <w:sz w:val="14"/>
                <w:szCs w:val="14"/>
              </w:rPr>
              <w:t>12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7462E8" w14:textId="77777777" w:rsidR="00855241" w:rsidRPr="00BC5284" w:rsidRDefault="00855241">
            <w:pPr>
              <w:pStyle w:val="TableTextStocktake"/>
              <w:jc w:val="right"/>
            </w:pPr>
            <w:r w:rsidRPr="00BC5284">
              <w:rPr>
                <w:sz w:val="14"/>
                <w:szCs w:val="14"/>
              </w:rPr>
              <w:t>211</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03174C" w14:textId="77777777" w:rsidR="00855241" w:rsidRPr="00BC5284" w:rsidRDefault="00855241">
            <w:pPr>
              <w:pStyle w:val="TableTextStocktake"/>
              <w:jc w:val="right"/>
            </w:pPr>
            <w:r w:rsidRPr="00BC5284">
              <w:rPr>
                <w:sz w:val="14"/>
                <w:szCs w:val="14"/>
              </w:rPr>
              <w:t>223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A1C794" w14:textId="77777777" w:rsidR="00855241" w:rsidRPr="00BC5284" w:rsidRDefault="00855241">
            <w:pPr>
              <w:pStyle w:val="TableTextStocktake"/>
              <w:jc w:val="right"/>
            </w:pPr>
            <w:r w:rsidRPr="00BC5284">
              <w:rPr>
                <w:sz w:val="14"/>
                <w:szCs w:val="14"/>
              </w:rPr>
              <w:t>13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72541B" w14:textId="77777777" w:rsidR="00855241" w:rsidRPr="00BC5284" w:rsidRDefault="00855241">
            <w:pPr>
              <w:pStyle w:val="TableTextStocktake"/>
              <w:jc w:val="right"/>
            </w:pPr>
            <w:r w:rsidRPr="00BC5284">
              <w:rPr>
                <w:sz w:val="14"/>
                <w:szCs w:val="14"/>
              </w:rPr>
              <w:t>236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6115364" w14:textId="77777777" w:rsidR="00855241" w:rsidRPr="00BC5284" w:rsidRDefault="00855241">
            <w:pPr>
              <w:pStyle w:val="TableTextStocktake"/>
              <w:jc w:val="right"/>
            </w:pPr>
            <w:r w:rsidRPr="00BC5284">
              <w:rPr>
                <w:sz w:val="14"/>
                <w:szCs w:val="14"/>
              </w:rPr>
              <w:t>1,356</w:t>
            </w:r>
          </w:p>
        </w:tc>
      </w:tr>
      <w:tr w:rsidR="00855241" w:rsidRPr="00BC5284" w14:paraId="21F1FEC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A934AE" w14:textId="77777777" w:rsidR="00855241" w:rsidRPr="00BC5284" w:rsidRDefault="00855241">
            <w:pPr>
              <w:pStyle w:val="TableTextStocktake"/>
            </w:pPr>
            <w:r w:rsidRPr="00BC5284">
              <w:rPr>
                <w:sz w:val="14"/>
                <w:szCs w:val="14"/>
              </w:rPr>
              <w:t>Warrnambool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56EF9E"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337CB4" w14:textId="77777777" w:rsidR="00855241" w:rsidRPr="00BC5284" w:rsidRDefault="00855241">
            <w:pPr>
              <w:pStyle w:val="TableTextStocktake"/>
              <w:jc w:val="right"/>
            </w:pPr>
            <w:r w:rsidRPr="00BC5284">
              <w:rPr>
                <w:sz w:val="14"/>
                <w:szCs w:val="14"/>
              </w:rPr>
              <w:t>121</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43EC6B" w14:textId="77777777" w:rsidR="00855241" w:rsidRPr="00BC5284" w:rsidRDefault="00855241">
            <w:pPr>
              <w:pStyle w:val="TableTextStocktake"/>
              <w:jc w:val="right"/>
            </w:pPr>
            <w:r w:rsidRPr="00BC5284">
              <w:rPr>
                <w:sz w:val="14"/>
                <w:szCs w:val="14"/>
              </w:rPr>
              <w:t>34,862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D19559" w14:textId="77777777" w:rsidR="00855241" w:rsidRPr="00BC5284" w:rsidRDefault="00855241">
            <w:pPr>
              <w:pStyle w:val="TableTextStocktake"/>
              <w:jc w:val="right"/>
            </w:pPr>
            <w:r w:rsidRPr="00BC5284">
              <w:rPr>
                <w:sz w:val="14"/>
                <w:szCs w:val="14"/>
              </w:rPr>
              <w:t>17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5B2DF4" w14:textId="77777777" w:rsidR="00855241" w:rsidRPr="00BC5284" w:rsidRDefault="00855241">
            <w:pPr>
              <w:pStyle w:val="TableTextStocktake"/>
              <w:jc w:val="right"/>
            </w:pPr>
            <w:r w:rsidRPr="00BC5284">
              <w:rPr>
                <w:sz w:val="14"/>
                <w:szCs w:val="14"/>
              </w:rPr>
              <w:t>199</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FED370" w14:textId="77777777" w:rsidR="00855241" w:rsidRPr="00BC5284" w:rsidRDefault="00855241">
            <w:pPr>
              <w:pStyle w:val="TableTextStocktake"/>
              <w:jc w:val="right"/>
            </w:pPr>
            <w:r w:rsidRPr="00BC5284">
              <w:rPr>
                <w:sz w:val="14"/>
                <w:szCs w:val="14"/>
              </w:rPr>
              <w:t>216</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025BCF" w14:textId="77777777" w:rsidR="00855241" w:rsidRPr="00BC5284" w:rsidRDefault="00855241">
            <w:pPr>
              <w:pStyle w:val="TableTextStocktake"/>
              <w:jc w:val="right"/>
            </w:pPr>
            <w:r w:rsidRPr="00BC5284">
              <w:rPr>
                <w:sz w:val="14"/>
                <w:szCs w:val="14"/>
              </w:rPr>
              <w:t>29</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88F23B" w14:textId="77777777" w:rsidR="00855241" w:rsidRPr="00BC5284" w:rsidRDefault="00855241">
            <w:pPr>
              <w:pStyle w:val="TableTextStocktake"/>
              <w:jc w:val="right"/>
            </w:pPr>
            <w:r w:rsidRPr="00BC5284">
              <w:rPr>
                <w:sz w:val="14"/>
                <w:szCs w:val="14"/>
              </w:rPr>
              <w:t>245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6C1C011" w14:textId="77777777" w:rsidR="00855241" w:rsidRPr="00BC5284" w:rsidRDefault="00855241">
            <w:pPr>
              <w:pStyle w:val="TableTextStocktake"/>
              <w:jc w:val="right"/>
            </w:pPr>
            <w:r w:rsidRPr="00BC5284">
              <w:rPr>
                <w:sz w:val="14"/>
                <w:szCs w:val="14"/>
              </w:rPr>
              <w:t>1,534</w:t>
            </w:r>
          </w:p>
        </w:tc>
      </w:tr>
      <w:tr w:rsidR="00855241" w:rsidRPr="00BC5284" w14:paraId="2A468BB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C6FCE4" w14:textId="77777777" w:rsidR="00855241" w:rsidRPr="00BC5284" w:rsidRDefault="00855241">
            <w:pPr>
              <w:pStyle w:val="TableTextStocktake"/>
            </w:pPr>
            <w:r w:rsidRPr="00BC5284">
              <w:rPr>
                <w:sz w:val="14"/>
                <w:szCs w:val="14"/>
              </w:rPr>
              <w:t>Wellington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E09B4E" w14:textId="77777777" w:rsidR="00855241" w:rsidRPr="00BC5284" w:rsidRDefault="00855241">
            <w:pPr>
              <w:pStyle w:val="TableTextStocktake"/>
            </w:pPr>
            <w:r w:rsidRPr="00BC5284">
              <w:rPr>
                <w:sz w:val="14"/>
                <w:szCs w:val="14"/>
              </w:rPr>
              <w:t>Rural Large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B2EF6D" w14:textId="77777777" w:rsidR="00855241" w:rsidRPr="00BC5284" w:rsidRDefault="00855241">
            <w:pPr>
              <w:pStyle w:val="TableTextStocktake"/>
              <w:jc w:val="right"/>
            </w:pPr>
            <w:r w:rsidRPr="00BC5284">
              <w:rPr>
                <w:sz w:val="14"/>
                <w:szCs w:val="14"/>
              </w:rPr>
              <w:t>10,817</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981E9C" w14:textId="77777777" w:rsidR="00855241" w:rsidRPr="00BC5284" w:rsidRDefault="00855241">
            <w:pPr>
              <w:pStyle w:val="TableTextStocktake"/>
              <w:jc w:val="right"/>
            </w:pPr>
            <w:r w:rsidRPr="00BC5284">
              <w:rPr>
                <w:sz w:val="14"/>
                <w:szCs w:val="14"/>
              </w:rPr>
              <w:t>44,019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DB23CF" w14:textId="77777777" w:rsidR="00855241" w:rsidRPr="00BC5284" w:rsidRDefault="00855241">
            <w:pPr>
              <w:pStyle w:val="TableTextStocktake"/>
              <w:jc w:val="right"/>
            </w:pPr>
            <w:r w:rsidRPr="00BC5284">
              <w:rPr>
                <w:sz w:val="14"/>
                <w:szCs w:val="14"/>
              </w:rPr>
              <w:t>27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F98D92" w14:textId="77777777" w:rsidR="00855241" w:rsidRPr="00BC5284" w:rsidRDefault="00855241">
            <w:pPr>
              <w:pStyle w:val="TableTextStocktake"/>
              <w:jc w:val="right"/>
            </w:pPr>
            <w:r w:rsidRPr="00BC5284">
              <w:rPr>
                <w:sz w:val="14"/>
                <w:szCs w:val="14"/>
              </w:rPr>
              <w:t>294</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B8FDEB" w14:textId="77777777" w:rsidR="00855241" w:rsidRPr="00BC5284" w:rsidRDefault="00855241">
            <w:pPr>
              <w:pStyle w:val="TableTextStocktake"/>
              <w:jc w:val="right"/>
            </w:pPr>
            <w:r w:rsidRPr="00BC5284">
              <w:rPr>
                <w:sz w:val="14"/>
                <w:szCs w:val="14"/>
              </w:rPr>
              <w:t>321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F1FF14" w14:textId="77777777" w:rsidR="00855241" w:rsidRPr="00BC5284" w:rsidRDefault="00855241">
            <w:pPr>
              <w:pStyle w:val="TableTextStocktake"/>
              <w:jc w:val="right"/>
            </w:pPr>
            <w:r w:rsidRPr="00BC5284">
              <w:rPr>
                <w:sz w:val="14"/>
                <w:szCs w:val="14"/>
              </w:rPr>
              <w:t>12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D392E2" w14:textId="77777777" w:rsidR="00855241" w:rsidRPr="00BC5284" w:rsidRDefault="00855241">
            <w:pPr>
              <w:pStyle w:val="TableTextStocktake"/>
              <w:jc w:val="right"/>
            </w:pPr>
            <w:r w:rsidRPr="00BC5284">
              <w:rPr>
                <w:sz w:val="14"/>
                <w:szCs w:val="14"/>
              </w:rPr>
              <w:t>333</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CB6C23E" w14:textId="77777777" w:rsidR="00855241" w:rsidRPr="00BC5284" w:rsidRDefault="00855241">
            <w:pPr>
              <w:pStyle w:val="TableTextStocktake"/>
              <w:jc w:val="right"/>
            </w:pPr>
            <w:r w:rsidRPr="00BC5284">
              <w:rPr>
                <w:sz w:val="14"/>
                <w:szCs w:val="14"/>
              </w:rPr>
              <w:t>1,418</w:t>
            </w:r>
          </w:p>
        </w:tc>
      </w:tr>
      <w:tr w:rsidR="00855241" w:rsidRPr="00BC5284" w14:paraId="1954B21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6A67A8" w14:textId="77777777" w:rsidR="00855241" w:rsidRPr="00BC5284" w:rsidRDefault="00855241">
            <w:pPr>
              <w:pStyle w:val="TableTextStocktake"/>
            </w:pPr>
            <w:r w:rsidRPr="00BC5284">
              <w:rPr>
                <w:sz w:val="14"/>
                <w:szCs w:val="14"/>
              </w:rPr>
              <w:t>West Wimmera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178E1E"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B3F8EF" w14:textId="77777777" w:rsidR="00855241" w:rsidRPr="00BC5284" w:rsidRDefault="00855241">
            <w:pPr>
              <w:pStyle w:val="TableTextStocktake"/>
              <w:jc w:val="right"/>
            </w:pPr>
            <w:r w:rsidRPr="00BC5284">
              <w:rPr>
                <w:sz w:val="14"/>
                <w:szCs w:val="14"/>
              </w:rPr>
              <w:t>9,108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6188BE" w14:textId="77777777" w:rsidR="00855241" w:rsidRPr="00BC5284" w:rsidRDefault="00855241">
            <w:pPr>
              <w:pStyle w:val="TableTextStocktake"/>
              <w:jc w:val="right"/>
            </w:pPr>
            <w:r w:rsidRPr="00BC5284">
              <w:rPr>
                <w:sz w:val="14"/>
                <w:szCs w:val="14"/>
              </w:rPr>
              <w:t>3,862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C7C967" w14:textId="77777777" w:rsidR="00855241" w:rsidRPr="00BC5284" w:rsidRDefault="00855241">
            <w:pPr>
              <w:pStyle w:val="TableTextStocktake"/>
              <w:jc w:val="right"/>
            </w:pPr>
            <w:r w:rsidRPr="00BC5284">
              <w:rPr>
                <w:sz w:val="14"/>
                <w:szCs w:val="14"/>
              </w:rPr>
              <w:t>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863FDF" w14:textId="77777777" w:rsidR="00855241" w:rsidRPr="00BC5284" w:rsidRDefault="00855241">
            <w:pPr>
              <w:pStyle w:val="TableTextStocktake"/>
              <w:jc w:val="right"/>
            </w:pPr>
            <w:r w:rsidRPr="00BC5284">
              <w:rPr>
                <w:sz w:val="14"/>
                <w:szCs w:val="14"/>
              </w:rPr>
              <w:t>7</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4D247B" w14:textId="77777777" w:rsidR="00855241" w:rsidRPr="00BC5284" w:rsidRDefault="00855241">
            <w:pPr>
              <w:pStyle w:val="TableTextStocktake"/>
              <w:jc w:val="right"/>
            </w:pPr>
            <w:r w:rsidRPr="00BC5284">
              <w:rPr>
                <w:sz w:val="14"/>
                <w:szCs w:val="14"/>
              </w:rPr>
              <w:t>11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7D4DAF"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1A2BF6" w14:textId="77777777" w:rsidR="00855241" w:rsidRPr="00BC5284" w:rsidRDefault="00855241">
            <w:pPr>
              <w:pStyle w:val="TableTextStocktake"/>
              <w:jc w:val="right"/>
            </w:pPr>
            <w:r w:rsidRPr="00BC5284">
              <w:rPr>
                <w:sz w:val="14"/>
                <w:szCs w:val="14"/>
              </w:rPr>
              <w:t>11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01539BD" w14:textId="77777777" w:rsidR="00855241" w:rsidRPr="00BC5284" w:rsidRDefault="00855241">
            <w:pPr>
              <w:pStyle w:val="TableTextStocktake"/>
              <w:jc w:val="right"/>
            </w:pPr>
            <w:r w:rsidRPr="00BC5284">
              <w:rPr>
                <w:sz w:val="14"/>
                <w:szCs w:val="14"/>
              </w:rPr>
              <w:t>12</w:t>
            </w:r>
          </w:p>
        </w:tc>
      </w:tr>
      <w:tr w:rsidR="00855241" w:rsidRPr="00BC5284" w14:paraId="13B7FD6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402F09" w14:textId="77777777" w:rsidR="00855241" w:rsidRPr="00BC5284" w:rsidRDefault="00855241">
            <w:pPr>
              <w:pStyle w:val="TableTextStocktake"/>
            </w:pPr>
            <w:r w:rsidRPr="00BC5284">
              <w:rPr>
                <w:sz w:val="14"/>
                <w:szCs w:val="14"/>
              </w:rPr>
              <w:t>Whitehorse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594595" w14:textId="77777777" w:rsidR="00855241" w:rsidRPr="00BC5284" w:rsidRDefault="00855241">
            <w:pPr>
              <w:pStyle w:val="TableTextStocktake"/>
            </w:pPr>
            <w:r w:rsidRPr="00BC5284">
              <w:rPr>
                <w:sz w:val="14"/>
                <w:szCs w:val="14"/>
              </w:rPr>
              <w:t>Metro Middle</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CF52BF" w14:textId="77777777" w:rsidR="00855241" w:rsidRPr="00BC5284" w:rsidRDefault="00855241">
            <w:pPr>
              <w:pStyle w:val="TableTextStocktake"/>
              <w:jc w:val="right"/>
            </w:pPr>
            <w:r w:rsidRPr="00BC5284">
              <w:rPr>
                <w:sz w:val="14"/>
                <w:szCs w:val="14"/>
              </w:rPr>
              <w:t>64</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A65FB4" w14:textId="77777777" w:rsidR="00855241" w:rsidRPr="00BC5284" w:rsidRDefault="00855241">
            <w:pPr>
              <w:pStyle w:val="TableTextStocktake"/>
              <w:jc w:val="right"/>
            </w:pPr>
            <w:r w:rsidRPr="00BC5284">
              <w:rPr>
                <w:sz w:val="14"/>
                <w:szCs w:val="14"/>
              </w:rPr>
              <w:t>176,196</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B22899" w14:textId="77777777" w:rsidR="00855241" w:rsidRPr="00BC5284" w:rsidRDefault="00855241">
            <w:pPr>
              <w:pStyle w:val="TableTextStocktake"/>
              <w:jc w:val="right"/>
            </w:pPr>
            <w:r w:rsidRPr="00BC5284">
              <w:rPr>
                <w:sz w:val="14"/>
                <w:szCs w:val="14"/>
              </w:rPr>
              <w:t>8</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CC55DD" w14:textId="77777777" w:rsidR="00855241" w:rsidRPr="00BC5284" w:rsidRDefault="00855241">
            <w:pPr>
              <w:pStyle w:val="TableTextStocktake"/>
              <w:jc w:val="right"/>
            </w:pPr>
            <w:r w:rsidRPr="00BC5284">
              <w:rPr>
                <w:sz w:val="14"/>
                <w:szCs w:val="14"/>
              </w:rPr>
              <w:t>256</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06F43F" w14:textId="77777777" w:rsidR="00855241" w:rsidRPr="00BC5284" w:rsidRDefault="00855241">
            <w:pPr>
              <w:pStyle w:val="TableTextStocktake"/>
              <w:jc w:val="right"/>
            </w:pPr>
            <w:r w:rsidRPr="00BC5284">
              <w:rPr>
                <w:sz w:val="14"/>
                <w:szCs w:val="14"/>
              </w:rPr>
              <w:t>264</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D5037C" w14:textId="77777777" w:rsidR="00855241" w:rsidRPr="00BC5284" w:rsidRDefault="00855241">
            <w:pPr>
              <w:pStyle w:val="TableTextStocktake"/>
              <w:jc w:val="right"/>
            </w:pPr>
            <w:r w:rsidRPr="00BC5284">
              <w:rPr>
                <w:sz w:val="14"/>
                <w:szCs w:val="14"/>
              </w:rPr>
              <w:t>15</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F3636B" w14:textId="77777777" w:rsidR="00855241" w:rsidRPr="00BC5284" w:rsidRDefault="00855241">
            <w:pPr>
              <w:pStyle w:val="TableTextStocktake"/>
              <w:jc w:val="right"/>
            </w:pPr>
            <w:r w:rsidRPr="00BC5284">
              <w:rPr>
                <w:sz w:val="14"/>
                <w:szCs w:val="14"/>
              </w:rPr>
              <w:t>279</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C39E2A1" w14:textId="77777777" w:rsidR="00855241" w:rsidRPr="00BC5284" w:rsidRDefault="00855241">
            <w:pPr>
              <w:pStyle w:val="TableTextStocktake"/>
              <w:jc w:val="right"/>
            </w:pPr>
            <w:r w:rsidRPr="00BC5284">
              <w:rPr>
                <w:sz w:val="14"/>
                <w:szCs w:val="14"/>
              </w:rPr>
              <w:t>1,263</w:t>
            </w:r>
          </w:p>
        </w:tc>
      </w:tr>
      <w:tr w:rsidR="00855241" w:rsidRPr="00BC5284" w14:paraId="1AE30C6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8113C4" w14:textId="77777777" w:rsidR="00855241" w:rsidRPr="00BC5284" w:rsidRDefault="00855241">
            <w:pPr>
              <w:pStyle w:val="TableTextStocktake"/>
            </w:pPr>
            <w:r w:rsidRPr="00BC5284">
              <w:rPr>
                <w:sz w:val="14"/>
                <w:szCs w:val="14"/>
              </w:rPr>
              <w:t>Whittlesea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DFF449"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AB6332" w14:textId="77777777" w:rsidR="00855241" w:rsidRPr="00BC5284" w:rsidRDefault="00855241">
            <w:pPr>
              <w:pStyle w:val="TableTextStocktake"/>
              <w:jc w:val="right"/>
            </w:pPr>
            <w:r w:rsidRPr="00BC5284">
              <w:rPr>
                <w:sz w:val="14"/>
                <w:szCs w:val="14"/>
              </w:rPr>
              <w:t>490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09445C" w14:textId="77777777" w:rsidR="00855241" w:rsidRPr="00BC5284" w:rsidRDefault="00855241">
            <w:pPr>
              <w:pStyle w:val="TableTextStocktake"/>
              <w:jc w:val="right"/>
            </w:pPr>
            <w:r w:rsidRPr="00BC5284">
              <w:rPr>
                <w:sz w:val="14"/>
                <w:szCs w:val="14"/>
              </w:rPr>
              <w:t>223,322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907D66" w14:textId="77777777" w:rsidR="00855241" w:rsidRPr="00BC5284" w:rsidRDefault="00855241">
            <w:pPr>
              <w:pStyle w:val="TableTextStocktake"/>
              <w:jc w:val="right"/>
            </w:pPr>
            <w:r w:rsidRPr="00BC5284">
              <w:rPr>
                <w:sz w:val="14"/>
                <w:szCs w:val="14"/>
              </w:rPr>
              <w:t>11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279530" w14:textId="77777777" w:rsidR="00855241" w:rsidRPr="00BC5284" w:rsidRDefault="00855241">
            <w:pPr>
              <w:pStyle w:val="TableTextStocktake"/>
              <w:jc w:val="right"/>
            </w:pPr>
            <w:r w:rsidRPr="00BC5284">
              <w:rPr>
                <w:sz w:val="14"/>
                <w:szCs w:val="14"/>
              </w:rPr>
              <w:t>152</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9311D4" w14:textId="77777777" w:rsidR="00855241" w:rsidRPr="00BC5284" w:rsidRDefault="00855241">
            <w:pPr>
              <w:pStyle w:val="TableTextStocktake"/>
              <w:jc w:val="right"/>
            </w:pPr>
            <w:r w:rsidRPr="00BC5284">
              <w:rPr>
                <w:sz w:val="14"/>
                <w:szCs w:val="14"/>
              </w:rPr>
              <w:t>163</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1FBF1E" w14:textId="77777777" w:rsidR="00855241" w:rsidRPr="00BC5284" w:rsidRDefault="00855241">
            <w:pPr>
              <w:pStyle w:val="TableTextStocktake"/>
              <w:jc w:val="right"/>
            </w:pPr>
            <w:r w:rsidRPr="00BC5284">
              <w:rPr>
                <w:sz w:val="14"/>
                <w:szCs w:val="14"/>
              </w:rPr>
              <w:t>2</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F3B838" w14:textId="77777777" w:rsidR="00855241" w:rsidRPr="00BC5284" w:rsidRDefault="00855241">
            <w:pPr>
              <w:pStyle w:val="TableTextStocktake"/>
              <w:jc w:val="right"/>
            </w:pPr>
            <w:r w:rsidRPr="00BC5284">
              <w:rPr>
                <w:sz w:val="14"/>
                <w:szCs w:val="14"/>
              </w:rPr>
              <w:t>165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0EEF968" w14:textId="77777777" w:rsidR="00855241" w:rsidRPr="00BC5284" w:rsidRDefault="00855241">
            <w:pPr>
              <w:pStyle w:val="TableTextStocktake"/>
              <w:jc w:val="right"/>
            </w:pPr>
            <w:r w:rsidRPr="00BC5284">
              <w:rPr>
                <w:sz w:val="14"/>
                <w:szCs w:val="14"/>
              </w:rPr>
              <w:t>287</w:t>
            </w:r>
          </w:p>
        </w:tc>
      </w:tr>
      <w:tr w:rsidR="00855241" w:rsidRPr="00BC5284" w14:paraId="1A34F85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5FD4EA" w14:textId="77777777" w:rsidR="00855241" w:rsidRPr="00BC5284" w:rsidRDefault="00855241">
            <w:pPr>
              <w:pStyle w:val="TableTextStocktake"/>
            </w:pPr>
            <w:r w:rsidRPr="00BC5284">
              <w:rPr>
                <w:sz w:val="14"/>
                <w:szCs w:val="14"/>
              </w:rPr>
              <w:lastRenderedPageBreak/>
              <w:t>Wodonga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77D465" w14:textId="77777777" w:rsidR="00855241" w:rsidRPr="00BC5284" w:rsidRDefault="00855241">
            <w:pPr>
              <w:pStyle w:val="TableTextStocktake"/>
            </w:pPr>
            <w:r w:rsidRPr="00BC5284">
              <w:rPr>
                <w:sz w:val="14"/>
                <w:szCs w:val="14"/>
              </w:rPr>
              <w:t>Rural City</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1C1A28" w14:textId="77777777" w:rsidR="00855241" w:rsidRPr="00BC5284" w:rsidRDefault="00855241">
            <w:pPr>
              <w:pStyle w:val="TableTextStocktake"/>
              <w:jc w:val="right"/>
            </w:pPr>
            <w:r w:rsidRPr="00BC5284">
              <w:rPr>
                <w:sz w:val="14"/>
                <w:szCs w:val="14"/>
              </w:rPr>
              <w:t>433</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2446D9" w14:textId="77777777" w:rsidR="00855241" w:rsidRPr="00BC5284" w:rsidRDefault="00855241">
            <w:pPr>
              <w:pStyle w:val="TableTextStocktake"/>
              <w:jc w:val="right"/>
            </w:pPr>
            <w:r w:rsidRPr="00BC5284">
              <w:rPr>
                <w:sz w:val="14"/>
                <w:szCs w:val="14"/>
              </w:rPr>
              <w:t>41,429</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BED643" w14:textId="77777777" w:rsidR="00855241" w:rsidRPr="00BC5284" w:rsidRDefault="00855241">
            <w:pPr>
              <w:pStyle w:val="TableTextStocktake"/>
              <w:jc w:val="right"/>
            </w:pPr>
            <w:r w:rsidRPr="00BC5284">
              <w:rPr>
                <w:sz w:val="14"/>
                <w:szCs w:val="14"/>
              </w:rPr>
              <w:t>4</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2EA3AD" w14:textId="77777777" w:rsidR="00855241" w:rsidRPr="00BC5284" w:rsidRDefault="00855241">
            <w:pPr>
              <w:pStyle w:val="TableTextStocktake"/>
              <w:jc w:val="right"/>
            </w:pPr>
            <w:r w:rsidRPr="00BC5284">
              <w:rPr>
                <w:sz w:val="14"/>
                <w:szCs w:val="14"/>
              </w:rPr>
              <w:t>50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4A0DCD" w14:textId="77777777" w:rsidR="00855241" w:rsidRPr="00BC5284" w:rsidRDefault="00855241">
            <w:pPr>
              <w:pStyle w:val="TableTextStocktake"/>
              <w:jc w:val="right"/>
            </w:pPr>
            <w:r w:rsidRPr="00BC5284">
              <w:rPr>
                <w:sz w:val="14"/>
                <w:szCs w:val="14"/>
              </w:rPr>
              <w:t>54</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001EF5" w14:textId="77777777" w:rsidR="00855241" w:rsidRPr="00BC5284" w:rsidRDefault="00855241">
            <w:pPr>
              <w:pStyle w:val="TableTextStocktake"/>
              <w:jc w:val="right"/>
            </w:pPr>
            <w:r w:rsidRPr="00BC5284">
              <w:rPr>
                <w:sz w:val="14"/>
                <w:szCs w:val="14"/>
              </w:rPr>
              <w:t>1</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B05A4C" w14:textId="77777777" w:rsidR="00855241" w:rsidRPr="00BC5284" w:rsidRDefault="00855241">
            <w:pPr>
              <w:pStyle w:val="TableTextStocktake"/>
              <w:jc w:val="right"/>
            </w:pPr>
            <w:r w:rsidRPr="00BC5284">
              <w:rPr>
                <w:sz w:val="14"/>
                <w:szCs w:val="14"/>
              </w:rPr>
              <w:t>55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484EAEB" w14:textId="77777777" w:rsidR="00855241" w:rsidRPr="00BC5284" w:rsidRDefault="00855241">
            <w:pPr>
              <w:pStyle w:val="TableTextStocktake"/>
              <w:jc w:val="right"/>
            </w:pPr>
            <w:r w:rsidRPr="00BC5284">
              <w:rPr>
                <w:sz w:val="14"/>
                <w:szCs w:val="14"/>
              </w:rPr>
              <w:t>128</w:t>
            </w:r>
          </w:p>
        </w:tc>
      </w:tr>
      <w:tr w:rsidR="00855241" w:rsidRPr="00BC5284" w14:paraId="1A7C12C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26DEB7" w14:textId="77777777" w:rsidR="00855241" w:rsidRPr="00BC5284" w:rsidRDefault="00855241">
            <w:pPr>
              <w:pStyle w:val="TableTextStocktake"/>
            </w:pPr>
            <w:r w:rsidRPr="00BC5284">
              <w:rPr>
                <w:sz w:val="14"/>
                <w:szCs w:val="14"/>
              </w:rPr>
              <w:t>Wyndham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3B0186"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B65304" w14:textId="77777777" w:rsidR="00855241" w:rsidRPr="00BC5284" w:rsidRDefault="00855241">
            <w:pPr>
              <w:pStyle w:val="TableTextStocktake"/>
              <w:jc w:val="right"/>
            </w:pPr>
            <w:r w:rsidRPr="00BC5284">
              <w:rPr>
                <w:sz w:val="14"/>
                <w:szCs w:val="14"/>
              </w:rPr>
              <w:t>542</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9B720F" w14:textId="77777777" w:rsidR="00855241" w:rsidRPr="00BC5284" w:rsidRDefault="00855241">
            <w:pPr>
              <w:pStyle w:val="TableTextStocktake"/>
              <w:jc w:val="right"/>
            </w:pPr>
            <w:r w:rsidRPr="00BC5284">
              <w:rPr>
                <w:sz w:val="14"/>
                <w:szCs w:val="14"/>
              </w:rPr>
              <w:t>255,322</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73665E" w14:textId="77777777" w:rsidR="00855241" w:rsidRPr="00BC5284" w:rsidRDefault="00855241">
            <w:pPr>
              <w:pStyle w:val="TableTextStocktake"/>
              <w:jc w:val="right"/>
            </w:pPr>
            <w:r w:rsidRPr="00BC5284">
              <w:rPr>
                <w:sz w:val="14"/>
                <w:szCs w:val="14"/>
              </w:rPr>
              <w:t>13</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A2AF179" w14:textId="77777777" w:rsidR="00855241" w:rsidRPr="00BC5284" w:rsidRDefault="00855241">
            <w:pPr>
              <w:pStyle w:val="TableTextStocktake"/>
              <w:jc w:val="right"/>
            </w:pPr>
            <w:r w:rsidRPr="00BC5284">
              <w:rPr>
                <w:sz w:val="14"/>
                <w:szCs w:val="14"/>
              </w:rPr>
              <w:t>108</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7E9A2D" w14:textId="77777777" w:rsidR="00855241" w:rsidRPr="00BC5284" w:rsidRDefault="00855241">
            <w:pPr>
              <w:pStyle w:val="TableTextStocktake"/>
              <w:jc w:val="right"/>
            </w:pPr>
            <w:r w:rsidRPr="00BC5284">
              <w:rPr>
                <w:sz w:val="14"/>
                <w:szCs w:val="14"/>
              </w:rPr>
              <w:t>121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EDADC7"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3087D4" w14:textId="77777777" w:rsidR="00855241" w:rsidRPr="00BC5284" w:rsidRDefault="00855241">
            <w:pPr>
              <w:pStyle w:val="TableTextStocktake"/>
              <w:jc w:val="right"/>
            </w:pPr>
            <w:r w:rsidRPr="00BC5284">
              <w:rPr>
                <w:sz w:val="14"/>
                <w:szCs w:val="14"/>
              </w:rPr>
              <w:t>121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CD7B65F" w14:textId="77777777" w:rsidR="00855241" w:rsidRPr="00BC5284" w:rsidRDefault="00855241">
            <w:pPr>
              <w:pStyle w:val="TableTextStocktake"/>
              <w:jc w:val="right"/>
            </w:pPr>
            <w:r w:rsidRPr="00BC5284">
              <w:rPr>
                <w:sz w:val="14"/>
                <w:szCs w:val="14"/>
              </w:rPr>
              <w:t>453</w:t>
            </w:r>
          </w:p>
        </w:tc>
      </w:tr>
      <w:tr w:rsidR="00855241" w:rsidRPr="00BC5284" w14:paraId="01F5E46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E96C4F" w14:textId="77777777" w:rsidR="00855241" w:rsidRPr="00BC5284" w:rsidRDefault="00855241">
            <w:pPr>
              <w:pStyle w:val="TableTextStocktake"/>
            </w:pPr>
            <w:r w:rsidRPr="00BC5284">
              <w:rPr>
                <w:sz w:val="14"/>
                <w:szCs w:val="14"/>
              </w:rPr>
              <w:t>Yarra (C)</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ECCA86" w14:textId="77777777" w:rsidR="00855241" w:rsidRPr="00BC5284" w:rsidRDefault="00855241">
            <w:pPr>
              <w:pStyle w:val="TableTextStocktake"/>
            </w:pPr>
            <w:r w:rsidRPr="00BC5284">
              <w:rPr>
                <w:sz w:val="14"/>
                <w:szCs w:val="14"/>
              </w:rPr>
              <w:t>Metro Inner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223684" w14:textId="77777777" w:rsidR="00855241" w:rsidRPr="00BC5284" w:rsidRDefault="00855241">
            <w:pPr>
              <w:pStyle w:val="TableTextStocktake"/>
              <w:jc w:val="right"/>
            </w:pPr>
            <w:r w:rsidRPr="00BC5284">
              <w:rPr>
                <w:sz w:val="14"/>
                <w:szCs w:val="14"/>
              </w:rPr>
              <w:t>20</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925CDD" w14:textId="77777777" w:rsidR="00855241" w:rsidRPr="00BC5284" w:rsidRDefault="00855241">
            <w:pPr>
              <w:pStyle w:val="TableTextStocktake"/>
              <w:jc w:val="right"/>
            </w:pPr>
            <w:r w:rsidRPr="00BC5284">
              <w:rPr>
                <w:sz w:val="14"/>
                <w:szCs w:val="14"/>
              </w:rPr>
              <w:t>98,521</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016E50" w14:textId="77777777" w:rsidR="00855241" w:rsidRPr="00BC5284" w:rsidRDefault="00855241">
            <w:pPr>
              <w:pStyle w:val="TableTextStocktake"/>
              <w:jc w:val="right"/>
            </w:pPr>
            <w:r w:rsidRPr="00BC5284">
              <w:rPr>
                <w:sz w:val="14"/>
                <w:szCs w:val="14"/>
              </w:rPr>
              <w:t>139</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F1DFB6" w14:textId="77777777" w:rsidR="00855241" w:rsidRPr="00BC5284" w:rsidRDefault="00855241">
            <w:pPr>
              <w:pStyle w:val="TableTextStocktake"/>
              <w:jc w:val="right"/>
            </w:pPr>
            <w:r w:rsidRPr="00BC5284">
              <w:rPr>
                <w:sz w:val="14"/>
                <w:szCs w:val="14"/>
              </w:rPr>
              <w:t>300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200B22" w14:textId="77777777" w:rsidR="00855241" w:rsidRPr="00BC5284" w:rsidRDefault="00855241">
            <w:pPr>
              <w:pStyle w:val="TableTextStocktake"/>
              <w:jc w:val="right"/>
            </w:pPr>
            <w:r w:rsidRPr="00BC5284">
              <w:rPr>
                <w:sz w:val="14"/>
                <w:szCs w:val="14"/>
              </w:rPr>
              <w:t>439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57CBCD" w14:textId="77777777" w:rsidR="00855241" w:rsidRPr="00BC5284" w:rsidRDefault="00855241">
            <w:pPr>
              <w:pStyle w:val="TableTextStocktake"/>
              <w:jc w:val="right"/>
            </w:pPr>
            <w:r w:rsidRPr="00BC5284">
              <w:rPr>
                <w:sz w:val="14"/>
                <w:szCs w:val="14"/>
              </w:rPr>
              <w:t>57</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325702" w14:textId="77777777" w:rsidR="00855241" w:rsidRPr="00BC5284" w:rsidRDefault="00855241">
            <w:pPr>
              <w:pStyle w:val="TableTextStocktake"/>
              <w:jc w:val="right"/>
            </w:pPr>
            <w:r w:rsidRPr="00BC5284">
              <w:rPr>
                <w:sz w:val="14"/>
                <w:szCs w:val="14"/>
              </w:rPr>
              <w:t>496</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940B1E8" w14:textId="77777777" w:rsidR="00855241" w:rsidRPr="00BC5284" w:rsidRDefault="00855241">
            <w:pPr>
              <w:pStyle w:val="TableTextStocktake"/>
              <w:jc w:val="right"/>
            </w:pPr>
            <w:r w:rsidRPr="00BC5284">
              <w:rPr>
                <w:sz w:val="14"/>
                <w:szCs w:val="14"/>
              </w:rPr>
              <w:t>22,505</w:t>
            </w:r>
          </w:p>
        </w:tc>
      </w:tr>
      <w:tr w:rsidR="00855241" w:rsidRPr="00BC5284" w14:paraId="10D7A95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472192" w14:textId="77777777" w:rsidR="00855241" w:rsidRPr="00BC5284" w:rsidRDefault="00855241">
            <w:pPr>
              <w:pStyle w:val="TableTextStocktake"/>
            </w:pPr>
            <w:r w:rsidRPr="00BC5284">
              <w:rPr>
                <w:sz w:val="14"/>
                <w:szCs w:val="14"/>
              </w:rPr>
              <w:t>Yarra Ranges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DFD10F" w14:textId="77777777" w:rsidR="00855241" w:rsidRPr="00BC5284" w:rsidRDefault="00855241">
            <w:pPr>
              <w:pStyle w:val="TableTextStocktake"/>
            </w:pPr>
            <w:r w:rsidRPr="00BC5284">
              <w:rPr>
                <w:sz w:val="14"/>
                <w:szCs w:val="14"/>
              </w:rPr>
              <w:t>Metro Outer</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63EFF6" w14:textId="77777777" w:rsidR="00855241" w:rsidRPr="00BC5284" w:rsidRDefault="00855241">
            <w:pPr>
              <w:pStyle w:val="TableTextStocktake"/>
              <w:jc w:val="right"/>
            </w:pPr>
            <w:r w:rsidRPr="00BC5284">
              <w:rPr>
                <w:sz w:val="14"/>
                <w:szCs w:val="14"/>
              </w:rPr>
              <w:t>2,468</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F97D18" w14:textId="77777777" w:rsidR="00855241" w:rsidRPr="00BC5284" w:rsidRDefault="00855241">
            <w:pPr>
              <w:pStyle w:val="TableTextStocktake"/>
              <w:jc w:val="right"/>
            </w:pPr>
            <w:r w:rsidRPr="00BC5284">
              <w:rPr>
                <w:sz w:val="14"/>
                <w:szCs w:val="14"/>
              </w:rPr>
              <w:t>158,173</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40DB8F" w14:textId="77777777" w:rsidR="00855241" w:rsidRPr="00BC5284" w:rsidRDefault="00855241">
            <w:pPr>
              <w:pStyle w:val="TableTextStocktake"/>
              <w:jc w:val="right"/>
            </w:pPr>
            <w:r w:rsidRPr="00BC5284">
              <w:rPr>
                <w:sz w:val="14"/>
                <w:szCs w:val="14"/>
              </w:rPr>
              <w:t>19</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33CE9F" w14:textId="77777777" w:rsidR="00855241" w:rsidRPr="00BC5284" w:rsidRDefault="00855241">
            <w:pPr>
              <w:pStyle w:val="TableTextStocktake"/>
              <w:jc w:val="right"/>
            </w:pPr>
            <w:r w:rsidRPr="00BC5284">
              <w:rPr>
                <w:sz w:val="14"/>
                <w:szCs w:val="14"/>
              </w:rPr>
              <w:t>370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8A8326" w14:textId="77777777" w:rsidR="00855241" w:rsidRPr="00BC5284" w:rsidRDefault="00855241">
            <w:pPr>
              <w:pStyle w:val="TableTextStocktake"/>
              <w:jc w:val="right"/>
            </w:pPr>
            <w:r w:rsidRPr="00BC5284">
              <w:rPr>
                <w:sz w:val="14"/>
                <w:szCs w:val="14"/>
              </w:rPr>
              <w:t>389</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D63D64" w14:textId="77777777" w:rsidR="00855241" w:rsidRPr="00BC5284" w:rsidRDefault="00855241">
            <w:pPr>
              <w:pStyle w:val="TableTextStocktake"/>
              <w:jc w:val="right"/>
            </w:pPr>
            <w:r w:rsidRPr="00BC5284">
              <w:rPr>
                <w:sz w:val="14"/>
                <w:szCs w:val="14"/>
              </w:rPr>
              <w:t>3</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FE1771" w14:textId="77777777" w:rsidR="00855241" w:rsidRPr="00BC5284" w:rsidRDefault="00855241">
            <w:pPr>
              <w:pStyle w:val="TableTextStocktake"/>
              <w:jc w:val="right"/>
            </w:pPr>
            <w:r w:rsidRPr="00BC5284">
              <w:rPr>
                <w:sz w:val="14"/>
                <w:szCs w:val="14"/>
              </w:rPr>
              <w:t>392</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7D63C65" w14:textId="77777777" w:rsidR="00855241" w:rsidRPr="00BC5284" w:rsidRDefault="00855241">
            <w:pPr>
              <w:pStyle w:val="TableTextStocktake"/>
              <w:jc w:val="right"/>
            </w:pPr>
            <w:r w:rsidRPr="00BC5284">
              <w:rPr>
                <w:sz w:val="14"/>
                <w:szCs w:val="14"/>
              </w:rPr>
              <w:t>925</w:t>
            </w:r>
          </w:p>
        </w:tc>
      </w:tr>
      <w:tr w:rsidR="00855241" w:rsidRPr="00BC5284" w14:paraId="1F6A894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8910E1" w14:textId="77777777" w:rsidR="00855241" w:rsidRPr="00BC5284" w:rsidRDefault="00855241">
            <w:pPr>
              <w:pStyle w:val="TableTextStocktake"/>
            </w:pPr>
            <w:r w:rsidRPr="00BC5284">
              <w:rPr>
                <w:sz w:val="14"/>
                <w:szCs w:val="14"/>
              </w:rPr>
              <w:t>Yarriambiack (S)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595523" w14:textId="77777777" w:rsidR="00855241" w:rsidRPr="00BC5284" w:rsidRDefault="00855241">
            <w:pPr>
              <w:pStyle w:val="TableTextStocktake"/>
            </w:pPr>
            <w:r w:rsidRPr="00BC5284">
              <w:rPr>
                <w:sz w:val="14"/>
                <w:szCs w:val="14"/>
              </w:rPr>
              <w:t>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2411E9" w14:textId="77777777" w:rsidR="00855241" w:rsidRPr="00BC5284" w:rsidRDefault="00855241">
            <w:pPr>
              <w:pStyle w:val="TableTextStocktake"/>
              <w:jc w:val="right"/>
            </w:pPr>
            <w:r w:rsidRPr="00BC5284">
              <w:rPr>
                <w:sz w:val="14"/>
                <w:szCs w:val="14"/>
              </w:rPr>
              <w:t>7,326</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CFC43B" w14:textId="77777777" w:rsidR="00855241" w:rsidRPr="00BC5284" w:rsidRDefault="00855241">
            <w:pPr>
              <w:pStyle w:val="TableTextStocktake"/>
              <w:jc w:val="right"/>
            </w:pPr>
            <w:r w:rsidRPr="00BC5284">
              <w:rPr>
                <w:sz w:val="14"/>
                <w:szCs w:val="14"/>
              </w:rPr>
              <w:t>6,658</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A7C1D6" w14:textId="77777777" w:rsidR="00855241" w:rsidRPr="00BC5284" w:rsidRDefault="00855241">
            <w:pPr>
              <w:pStyle w:val="TableTextStocktake"/>
              <w:jc w:val="right"/>
            </w:pPr>
            <w:r w:rsidRPr="00BC5284">
              <w:rPr>
                <w:sz w:val="14"/>
                <w:szCs w:val="14"/>
              </w:rPr>
              <w:t>12</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C3DD47" w14:textId="77777777" w:rsidR="00855241" w:rsidRPr="00BC5284" w:rsidRDefault="00855241">
            <w:pPr>
              <w:pStyle w:val="TableTextStocktake"/>
              <w:jc w:val="right"/>
            </w:pPr>
            <w:r w:rsidRPr="00BC5284">
              <w:rPr>
                <w:sz w:val="14"/>
                <w:szCs w:val="14"/>
              </w:rPr>
              <w:t>62</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0CAF8D" w14:textId="77777777" w:rsidR="00855241" w:rsidRPr="00BC5284" w:rsidRDefault="00855241">
            <w:pPr>
              <w:pStyle w:val="TableTextStocktake"/>
              <w:jc w:val="right"/>
            </w:pPr>
            <w:r w:rsidRPr="00BC5284">
              <w:rPr>
                <w:sz w:val="14"/>
                <w:szCs w:val="14"/>
              </w:rPr>
              <w:t>74</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B7AE5B"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A8B5BF" w14:textId="77777777" w:rsidR="00855241" w:rsidRPr="00BC5284" w:rsidRDefault="00855241">
            <w:pPr>
              <w:pStyle w:val="TableTextStocktake"/>
              <w:jc w:val="right"/>
            </w:pPr>
            <w:r w:rsidRPr="00BC5284">
              <w:rPr>
                <w:sz w:val="14"/>
                <w:szCs w:val="14"/>
              </w:rPr>
              <w:t>74</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2512E50" w14:textId="77777777" w:rsidR="00855241" w:rsidRPr="00BC5284" w:rsidRDefault="00855241">
            <w:pPr>
              <w:pStyle w:val="TableTextStocktake"/>
              <w:jc w:val="right"/>
            </w:pPr>
            <w:r w:rsidRPr="00BC5284">
              <w:rPr>
                <w:sz w:val="14"/>
                <w:szCs w:val="14"/>
              </w:rPr>
              <w:t>92</w:t>
            </w:r>
          </w:p>
        </w:tc>
      </w:tr>
      <w:tr w:rsidR="00855241" w:rsidRPr="00BC5284" w14:paraId="62A0664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552251CC" w14:textId="77777777" w:rsidR="00855241" w:rsidRPr="00BC5284" w:rsidRDefault="00855241">
            <w:pPr>
              <w:pStyle w:val="NoParagraphStyle"/>
              <w:spacing w:line="240" w:lineRule="auto"/>
              <w:textAlignment w:val="auto"/>
              <w:rPr>
                <w:rFonts w:cs="Times New Roman"/>
                <w:color w:val="auto"/>
              </w:rPr>
            </w:pP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20A8DE7F" w14:textId="77777777" w:rsidR="00855241" w:rsidRPr="00BC5284" w:rsidRDefault="00855241">
            <w:pPr>
              <w:pStyle w:val="NoParagraphStyle"/>
              <w:spacing w:line="240" w:lineRule="auto"/>
              <w:textAlignment w:val="auto"/>
              <w:rPr>
                <w:rFonts w:cs="Times New Roman"/>
                <w:color w:val="auto"/>
              </w:rPr>
            </w:pP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096C6A62" w14:textId="77777777" w:rsidR="00855241" w:rsidRPr="00BC5284" w:rsidRDefault="00855241">
            <w:pPr>
              <w:pStyle w:val="NoParagraphStyle"/>
              <w:spacing w:line="240" w:lineRule="auto"/>
              <w:textAlignment w:val="auto"/>
              <w:rPr>
                <w:rFonts w:cs="Times New Roman"/>
                <w:color w:val="auto"/>
              </w:rPr>
            </w:pP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1F39E694" w14:textId="77777777" w:rsidR="00855241" w:rsidRPr="00BC5284" w:rsidRDefault="00855241">
            <w:pPr>
              <w:pStyle w:val="NoParagraphStyle"/>
              <w:spacing w:line="240" w:lineRule="auto"/>
              <w:textAlignment w:val="auto"/>
              <w:rPr>
                <w:rFonts w:cs="Times New Roman"/>
                <w:color w:val="auto"/>
              </w:rPr>
            </w:pP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0B4F7F5B" w14:textId="77777777" w:rsidR="00855241" w:rsidRPr="00BC5284" w:rsidRDefault="00855241">
            <w:pPr>
              <w:pStyle w:val="NoParagraphStyle"/>
              <w:spacing w:line="240" w:lineRule="auto"/>
              <w:textAlignment w:val="auto"/>
              <w:rPr>
                <w:rFonts w:cs="Times New Roman"/>
                <w:color w:val="auto"/>
              </w:rPr>
            </w:pP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03D57365" w14:textId="77777777" w:rsidR="00855241" w:rsidRPr="00BC5284" w:rsidRDefault="00855241">
            <w:pPr>
              <w:pStyle w:val="NoParagraphStyle"/>
              <w:spacing w:line="240" w:lineRule="auto"/>
              <w:textAlignment w:val="auto"/>
              <w:rPr>
                <w:rFonts w:cs="Times New Roman"/>
                <w:color w:val="auto"/>
              </w:rPr>
            </w:pP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2EB8990C" w14:textId="77777777" w:rsidR="00855241" w:rsidRPr="00BC5284" w:rsidRDefault="00855241">
            <w:pPr>
              <w:pStyle w:val="NoParagraphStyle"/>
              <w:spacing w:line="240" w:lineRule="auto"/>
              <w:textAlignment w:val="auto"/>
              <w:rPr>
                <w:rFonts w:cs="Times New Roman"/>
                <w:color w:val="auto"/>
              </w:rPr>
            </w:pP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7AD43367" w14:textId="77777777" w:rsidR="00855241" w:rsidRPr="00BC5284" w:rsidRDefault="00855241">
            <w:pPr>
              <w:pStyle w:val="NoParagraphStyle"/>
              <w:spacing w:line="240" w:lineRule="auto"/>
              <w:textAlignment w:val="auto"/>
              <w:rPr>
                <w:rFonts w:cs="Times New Roman"/>
                <w:color w:val="auto"/>
              </w:rPr>
            </w:pP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39C4F2A6" w14:textId="77777777" w:rsidR="00855241" w:rsidRPr="00BC5284" w:rsidRDefault="00855241">
            <w:pPr>
              <w:pStyle w:val="NoParagraphStyle"/>
              <w:spacing w:line="240" w:lineRule="auto"/>
              <w:textAlignment w:val="auto"/>
              <w:rPr>
                <w:rFonts w:cs="Times New Roman"/>
                <w:color w:val="auto"/>
              </w:rPr>
            </w:pP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0" w:type="dxa"/>
              <w:right w:w="80" w:type="dxa"/>
            </w:tcMar>
          </w:tcPr>
          <w:p w14:paraId="539DAA70" w14:textId="77777777" w:rsidR="00855241" w:rsidRPr="00BC5284" w:rsidRDefault="00855241">
            <w:pPr>
              <w:pStyle w:val="NoParagraphStyle"/>
              <w:spacing w:line="240" w:lineRule="auto"/>
              <w:textAlignment w:val="auto"/>
              <w:rPr>
                <w:rFonts w:cs="Times New Roman"/>
                <w:color w:val="auto"/>
              </w:rPr>
            </w:pPr>
          </w:p>
        </w:tc>
      </w:tr>
      <w:tr w:rsidR="00855241" w:rsidRPr="00BC5284" w14:paraId="2CE94E5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7F7DBE" w14:textId="77777777" w:rsidR="00855241" w:rsidRPr="00BC5284" w:rsidRDefault="00855241">
            <w:pPr>
              <w:pStyle w:val="TableTextStocktake"/>
            </w:pPr>
            <w:r w:rsidRPr="00BC5284">
              <w:rPr>
                <w:sz w:val="14"/>
                <w:szCs w:val="14"/>
              </w:rPr>
              <w:t>Alpine Resorts</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07A95B" w14:textId="77777777" w:rsidR="00855241" w:rsidRPr="00BC5284" w:rsidRDefault="00855241">
            <w:pPr>
              <w:pStyle w:val="TableTextStocktake"/>
            </w:pPr>
            <w:r w:rsidRPr="00BC5284">
              <w:rPr>
                <w:sz w:val="14"/>
                <w:szCs w:val="14"/>
              </w:rPr>
              <w:t>Non-LGA</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F8DEE7"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8C0B66"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9E2CD6" w14:textId="77777777" w:rsidR="00855241" w:rsidRPr="00BC5284" w:rsidRDefault="00855241">
            <w:pPr>
              <w:pStyle w:val="TableTextStocktake"/>
              <w:jc w:val="right"/>
            </w:pPr>
            <w:r w:rsidRPr="00BC5284">
              <w:rPr>
                <w:sz w:val="14"/>
                <w:szCs w:val="14"/>
              </w:rPr>
              <w:t>1</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2ACCFA" w14:textId="77777777" w:rsidR="00855241" w:rsidRPr="00BC5284" w:rsidRDefault="00855241">
            <w:pPr>
              <w:pStyle w:val="TableTextStocktake"/>
              <w:jc w:val="right"/>
            </w:pPr>
            <w:r w:rsidRPr="00BC5284">
              <w:rPr>
                <w:sz w:val="14"/>
                <w:szCs w:val="14"/>
              </w:rPr>
              <w:t>0</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069EB7" w14:textId="77777777" w:rsidR="00855241" w:rsidRPr="00BC5284" w:rsidRDefault="00855241">
            <w:pPr>
              <w:pStyle w:val="TableTextStocktake"/>
              <w:jc w:val="right"/>
            </w:pPr>
            <w:r w:rsidRPr="00BC5284">
              <w:rPr>
                <w:sz w:val="14"/>
                <w:szCs w:val="14"/>
              </w:rPr>
              <w:t>1</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038AC0"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EED167" w14:textId="77777777" w:rsidR="00855241" w:rsidRPr="00BC5284" w:rsidRDefault="00855241">
            <w:pPr>
              <w:pStyle w:val="TableTextStocktake"/>
              <w:jc w:val="right"/>
            </w:pPr>
            <w:r w:rsidRPr="00BC5284">
              <w:rPr>
                <w:sz w:val="14"/>
                <w:szCs w:val="14"/>
              </w:rPr>
              <w:t>1</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4E4143E" w14:textId="77777777" w:rsidR="00855241" w:rsidRPr="00BC5284" w:rsidRDefault="00855241">
            <w:pPr>
              <w:pStyle w:val="TableTextStocktake"/>
              <w:jc w:val="right"/>
            </w:pPr>
            <w:r w:rsidRPr="00BC5284">
              <w:rPr>
                <w:sz w:val="14"/>
                <w:szCs w:val="14"/>
              </w:rPr>
              <w:t>1</w:t>
            </w:r>
          </w:p>
        </w:tc>
      </w:tr>
      <w:tr w:rsidR="00855241" w:rsidRPr="00BC5284" w14:paraId="77C606B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701656" w14:textId="77777777" w:rsidR="00855241" w:rsidRPr="00BC5284" w:rsidRDefault="00855241">
            <w:pPr>
              <w:pStyle w:val="TableTextStocktake"/>
            </w:pPr>
            <w:r w:rsidRPr="00BC5284">
              <w:rPr>
                <w:sz w:val="14"/>
                <w:szCs w:val="14"/>
              </w:rPr>
              <w:t xml:space="preserve">   Falls Creek (ARMB)</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159ED6" w14:textId="77777777" w:rsidR="00855241" w:rsidRPr="00BC5284" w:rsidRDefault="00855241">
            <w:pPr>
              <w:pStyle w:val="TableTextStocktake"/>
            </w:pPr>
            <w:r w:rsidRPr="00BC5284">
              <w:rPr>
                <w:sz w:val="14"/>
                <w:szCs w:val="14"/>
              </w:rPr>
              <w:t>Non-LGA</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7B370E"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FC0095"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AF2E91" w14:textId="77777777" w:rsidR="00855241" w:rsidRPr="00BC5284" w:rsidRDefault="00855241">
            <w:pPr>
              <w:pStyle w:val="TableTextStocktake"/>
              <w:jc w:val="right"/>
            </w:pPr>
            <w:r w:rsidRPr="00BC5284">
              <w:rPr>
                <w:sz w:val="14"/>
                <w:szCs w:val="14"/>
              </w:rPr>
              <w:t>-</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9A53BB" w14:textId="77777777" w:rsidR="00855241" w:rsidRPr="00BC5284" w:rsidRDefault="00855241">
            <w:pPr>
              <w:pStyle w:val="TableTextStocktake"/>
              <w:jc w:val="right"/>
            </w:pPr>
            <w:r w:rsidRPr="00BC5284">
              <w:rPr>
                <w:sz w:val="14"/>
                <w:szCs w:val="14"/>
              </w:rPr>
              <w:t>-</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8B0BB7" w14:textId="77777777" w:rsidR="00855241" w:rsidRPr="00BC5284" w:rsidRDefault="00855241">
            <w:pPr>
              <w:pStyle w:val="TableTextStocktake"/>
              <w:jc w:val="right"/>
            </w:pPr>
            <w:r w:rsidRPr="00BC5284">
              <w:rPr>
                <w:sz w:val="14"/>
                <w:szCs w:val="14"/>
              </w:rPr>
              <w:t>-</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4D6311" w14:textId="77777777" w:rsidR="00855241" w:rsidRPr="00BC5284" w:rsidRDefault="00855241">
            <w:pPr>
              <w:pStyle w:val="TableTextStocktake"/>
              <w:jc w:val="right"/>
            </w:pPr>
            <w:r w:rsidRPr="00BC5284">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DE591F" w14:textId="77777777" w:rsidR="00855241" w:rsidRPr="00BC5284" w:rsidRDefault="00855241">
            <w:pPr>
              <w:pStyle w:val="TableTextStocktake"/>
              <w:jc w:val="right"/>
            </w:pPr>
            <w:r w:rsidRPr="00BC5284">
              <w:rPr>
                <w:sz w:val="14"/>
                <w:szCs w:val="14"/>
              </w:rPr>
              <w:t>-</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60DBADA" w14:textId="77777777" w:rsidR="00855241" w:rsidRPr="00BC5284" w:rsidRDefault="00855241">
            <w:pPr>
              <w:pStyle w:val="TableTextStocktake"/>
              <w:jc w:val="right"/>
            </w:pPr>
            <w:r w:rsidRPr="00BC5284">
              <w:rPr>
                <w:sz w:val="14"/>
                <w:szCs w:val="14"/>
              </w:rPr>
              <w:t>-</w:t>
            </w:r>
          </w:p>
        </w:tc>
      </w:tr>
      <w:tr w:rsidR="00855241" w:rsidRPr="00BC5284" w14:paraId="2AC1E2E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FBE223" w14:textId="77777777" w:rsidR="00855241" w:rsidRPr="00BC5284" w:rsidRDefault="00855241">
            <w:pPr>
              <w:pStyle w:val="TableTextStocktake"/>
            </w:pPr>
            <w:r w:rsidRPr="00BC5284">
              <w:rPr>
                <w:sz w:val="14"/>
                <w:szCs w:val="14"/>
              </w:rPr>
              <w:t xml:space="preserve">   Mt Buller &amp; Mt Stirling (ARMB)</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1F1BC7" w14:textId="77777777" w:rsidR="00855241" w:rsidRPr="00BC5284" w:rsidRDefault="00855241">
            <w:pPr>
              <w:pStyle w:val="TableTextStocktake"/>
            </w:pPr>
            <w:r w:rsidRPr="00BC5284">
              <w:rPr>
                <w:sz w:val="14"/>
                <w:szCs w:val="14"/>
              </w:rPr>
              <w:t>Non-LGA / Rural Small</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796A94"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FA6C9C"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256309" w14:textId="77777777" w:rsidR="00855241" w:rsidRPr="00BC5284" w:rsidRDefault="00855241">
            <w:pPr>
              <w:pStyle w:val="TableTextStocktake"/>
              <w:jc w:val="right"/>
            </w:pPr>
            <w:r w:rsidRPr="00BC5284">
              <w:rPr>
                <w:sz w:val="14"/>
                <w:szCs w:val="14"/>
              </w:rPr>
              <w:t>-</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54F2E2" w14:textId="77777777" w:rsidR="00855241" w:rsidRPr="00BC5284" w:rsidRDefault="00855241">
            <w:pPr>
              <w:pStyle w:val="TableTextStocktake"/>
              <w:jc w:val="right"/>
            </w:pPr>
            <w:r w:rsidRPr="00BC5284">
              <w:rPr>
                <w:sz w:val="14"/>
                <w:szCs w:val="14"/>
              </w:rPr>
              <w:t>-</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F6C528" w14:textId="77777777" w:rsidR="00855241" w:rsidRPr="00BC5284" w:rsidRDefault="00855241">
            <w:pPr>
              <w:pStyle w:val="TableTextStocktake"/>
              <w:jc w:val="right"/>
            </w:pPr>
            <w:r w:rsidRPr="00BC5284">
              <w:rPr>
                <w:sz w:val="14"/>
                <w:szCs w:val="14"/>
              </w:rPr>
              <w:t>-</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F66F71" w14:textId="77777777" w:rsidR="00855241" w:rsidRPr="00BC5284" w:rsidRDefault="00855241">
            <w:pPr>
              <w:pStyle w:val="TableTextStocktake"/>
              <w:jc w:val="right"/>
            </w:pPr>
            <w:r w:rsidRPr="00BC5284">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1E08B5" w14:textId="77777777" w:rsidR="00855241" w:rsidRPr="00BC5284" w:rsidRDefault="00855241">
            <w:pPr>
              <w:pStyle w:val="TableTextStocktake"/>
              <w:jc w:val="right"/>
            </w:pPr>
            <w:r w:rsidRPr="00BC5284">
              <w:rPr>
                <w:sz w:val="14"/>
                <w:szCs w:val="14"/>
              </w:rPr>
              <w:t>-</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940EC9B" w14:textId="77777777" w:rsidR="00855241" w:rsidRPr="00BC5284" w:rsidRDefault="00855241">
            <w:pPr>
              <w:pStyle w:val="TableTextStocktake"/>
              <w:jc w:val="right"/>
            </w:pPr>
            <w:r w:rsidRPr="00BC5284">
              <w:rPr>
                <w:sz w:val="14"/>
                <w:szCs w:val="14"/>
              </w:rPr>
              <w:t>-</w:t>
            </w:r>
          </w:p>
        </w:tc>
      </w:tr>
      <w:tr w:rsidR="00855241" w:rsidRPr="00BC5284" w14:paraId="1D637A2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29B325" w14:textId="77777777" w:rsidR="00855241" w:rsidRPr="00BC5284" w:rsidRDefault="00855241">
            <w:pPr>
              <w:pStyle w:val="TableTextStocktake"/>
            </w:pPr>
            <w:r w:rsidRPr="00BC5284">
              <w:rPr>
                <w:sz w:val="14"/>
                <w:szCs w:val="14"/>
              </w:rPr>
              <w:t xml:space="preserve">   Mt Hotham (ARMB)</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CA7160" w14:textId="77777777" w:rsidR="00855241" w:rsidRPr="00BC5284" w:rsidRDefault="00855241">
            <w:pPr>
              <w:pStyle w:val="TableTextStocktake"/>
            </w:pPr>
            <w:r w:rsidRPr="00BC5284">
              <w:rPr>
                <w:sz w:val="14"/>
                <w:szCs w:val="14"/>
              </w:rPr>
              <w:t>Non-LGA</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6C4F1C"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23B9D8"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9D50B0" w14:textId="77777777" w:rsidR="00855241" w:rsidRPr="00BC5284" w:rsidRDefault="00855241">
            <w:pPr>
              <w:pStyle w:val="TableTextStocktake"/>
              <w:jc w:val="right"/>
            </w:pPr>
            <w:r w:rsidRPr="00BC5284">
              <w:rPr>
                <w:sz w:val="14"/>
                <w:szCs w:val="14"/>
              </w:rPr>
              <w:t>-</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2D32C5" w14:textId="77777777" w:rsidR="00855241" w:rsidRPr="00BC5284" w:rsidRDefault="00855241">
            <w:pPr>
              <w:pStyle w:val="TableTextStocktake"/>
              <w:jc w:val="right"/>
            </w:pPr>
            <w:r w:rsidRPr="00BC5284">
              <w:rPr>
                <w:sz w:val="14"/>
                <w:szCs w:val="14"/>
              </w:rPr>
              <w:t>-</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01B0AB" w14:textId="77777777" w:rsidR="00855241" w:rsidRPr="00BC5284" w:rsidRDefault="00855241">
            <w:pPr>
              <w:pStyle w:val="TableTextStocktake"/>
              <w:jc w:val="right"/>
            </w:pPr>
            <w:r w:rsidRPr="00BC5284">
              <w:rPr>
                <w:sz w:val="14"/>
                <w:szCs w:val="14"/>
              </w:rPr>
              <w:t>-</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E368C2" w14:textId="77777777" w:rsidR="00855241" w:rsidRPr="00BC5284" w:rsidRDefault="00855241">
            <w:pPr>
              <w:pStyle w:val="TableTextStocktake"/>
              <w:jc w:val="right"/>
            </w:pPr>
            <w:r w:rsidRPr="00BC5284">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36D61C" w14:textId="77777777" w:rsidR="00855241" w:rsidRPr="00BC5284" w:rsidRDefault="00855241">
            <w:pPr>
              <w:pStyle w:val="TableTextStocktake"/>
              <w:jc w:val="right"/>
            </w:pPr>
            <w:r w:rsidRPr="00BC5284">
              <w:rPr>
                <w:sz w:val="14"/>
                <w:szCs w:val="14"/>
              </w:rPr>
              <w:t>-</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0C0BEC6" w14:textId="77777777" w:rsidR="00855241" w:rsidRPr="00BC5284" w:rsidRDefault="00855241">
            <w:pPr>
              <w:pStyle w:val="TableTextStocktake"/>
              <w:jc w:val="right"/>
            </w:pPr>
            <w:r w:rsidRPr="00BC5284">
              <w:rPr>
                <w:sz w:val="14"/>
                <w:szCs w:val="14"/>
              </w:rPr>
              <w:t>-</w:t>
            </w:r>
          </w:p>
        </w:tc>
      </w:tr>
      <w:tr w:rsidR="00855241" w:rsidRPr="00BC5284" w14:paraId="5719D02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5254A2" w14:textId="77777777" w:rsidR="00855241" w:rsidRPr="00BC5284" w:rsidRDefault="00855241">
            <w:pPr>
              <w:pStyle w:val="TableTextStocktake"/>
            </w:pPr>
            <w:r w:rsidRPr="00BC5284">
              <w:rPr>
                <w:sz w:val="14"/>
                <w:szCs w:val="14"/>
              </w:rPr>
              <w:t xml:space="preserve">   Southern (ARMB)</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85873E" w14:textId="77777777" w:rsidR="00855241" w:rsidRPr="00BC5284" w:rsidRDefault="00855241">
            <w:pPr>
              <w:pStyle w:val="TableTextStocktake"/>
            </w:pPr>
            <w:r w:rsidRPr="00BC5284">
              <w:rPr>
                <w:sz w:val="14"/>
                <w:szCs w:val="14"/>
              </w:rPr>
              <w:t>Non-LGA</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A23ECD"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4FF9D0"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2F9B5F" w14:textId="77777777" w:rsidR="00855241" w:rsidRPr="00BC5284" w:rsidRDefault="00855241">
            <w:pPr>
              <w:pStyle w:val="TableTextStocktake"/>
              <w:jc w:val="right"/>
            </w:pPr>
            <w:r w:rsidRPr="00BC5284">
              <w:rPr>
                <w:sz w:val="14"/>
                <w:szCs w:val="14"/>
              </w:rPr>
              <w:t>-</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685A31" w14:textId="77777777" w:rsidR="00855241" w:rsidRPr="00BC5284" w:rsidRDefault="00855241">
            <w:pPr>
              <w:pStyle w:val="TableTextStocktake"/>
              <w:jc w:val="right"/>
            </w:pPr>
            <w:r w:rsidRPr="00BC5284">
              <w:rPr>
                <w:sz w:val="14"/>
                <w:szCs w:val="14"/>
              </w:rPr>
              <w:t>-</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58B2A4" w14:textId="77777777" w:rsidR="00855241" w:rsidRPr="00BC5284" w:rsidRDefault="00855241">
            <w:pPr>
              <w:pStyle w:val="TableTextStocktake"/>
              <w:jc w:val="right"/>
            </w:pPr>
            <w:r w:rsidRPr="00BC5284">
              <w:rPr>
                <w:sz w:val="14"/>
                <w:szCs w:val="14"/>
              </w:rPr>
              <w:t>-</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C9F0D3" w14:textId="77777777" w:rsidR="00855241" w:rsidRPr="00BC5284" w:rsidRDefault="00855241">
            <w:pPr>
              <w:pStyle w:val="TableTextStocktake"/>
              <w:jc w:val="right"/>
            </w:pPr>
            <w:r w:rsidRPr="00BC5284">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28D825" w14:textId="77777777" w:rsidR="00855241" w:rsidRPr="00BC5284" w:rsidRDefault="00855241">
            <w:pPr>
              <w:pStyle w:val="TableTextStocktake"/>
              <w:jc w:val="right"/>
            </w:pPr>
            <w:r w:rsidRPr="00BC5284">
              <w:rPr>
                <w:sz w:val="14"/>
                <w:szCs w:val="14"/>
              </w:rPr>
              <w:t>-</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BF8E945" w14:textId="77777777" w:rsidR="00855241" w:rsidRPr="00BC5284" w:rsidRDefault="00855241">
            <w:pPr>
              <w:pStyle w:val="TableTextStocktake"/>
              <w:jc w:val="right"/>
            </w:pPr>
            <w:r w:rsidRPr="00BC5284">
              <w:rPr>
                <w:sz w:val="14"/>
                <w:szCs w:val="14"/>
              </w:rPr>
              <w:t>-</w:t>
            </w:r>
          </w:p>
        </w:tc>
      </w:tr>
      <w:tr w:rsidR="00855241" w:rsidRPr="00BC5284" w14:paraId="228BA7A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52A0EA" w14:textId="77777777" w:rsidR="00855241" w:rsidRPr="00BC5284" w:rsidRDefault="00855241">
            <w:pPr>
              <w:pStyle w:val="TableTextStocktake"/>
            </w:pPr>
            <w:r w:rsidRPr="00BC5284">
              <w:rPr>
                <w:sz w:val="14"/>
                <w:szCs w:val="14"/>
              </w:rPr>
              <w:t>French Island and Sandstone Island</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F3EE73" w14:textId="77777777" w:rsidR="00855241" w:rsidRPr="00BC5284" w:rsidRDefault="00855241">
            <w:pPr>
              <w:pStyle w:val="TableTextStocktake"/>
            </w:pPr>
            <w:r w:rsidRPr="00BC5284">
              <w:rPr>
                <w:sz w:val="14"/>
                <w:szCs w:val="14"/>
              </w:rPr>
              <w:t>Non-LGA</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0F8984"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1B81B2"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4B3CFD" w14:textId="77777777" w:rsidR="00855241" w:rsidRPr="00BC5284" w:rsidRDefault="00855241">
            <w:pPr>
              <w:pStyle w:val="TableTextStocktake"/>
              <w:jc w:val="right"/>
            </w:pPr>
            <w:r w:rsidRPr="00BC5284">
              <w:rPr>
                <w:sz w:val="14"/>
                <w:szCs w:val="14"/>
              </w:rPr>
              <w:t>0</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6FA003" w14:textId="77777777" w:rsidR="00855241" w:rsidRPr="00BC5284" w:rsidRDefault="00855241">
            <w:pPr>
              <w:pStyle w:val="TableTextStocktake"/>
              <w:jc w:val="right"/>
            </w:pPr>
            <w:r w:rsidRPr="00BC5284">
              <w:rPr>
                <w:sz w:val="14"/>
                <w:szCs w:val="14"/>
              </w:rPr>
              <w:t>25</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5A4E5D" w14:textId="77777777" w:rsidR="00855241" w:rsidRPr="00BC5284" w:rsidRDefault="00855241">
            <w:pPr>
              <w:pStyle w:val="TableTextStocktake"/>
              <w:jc w:val="right"/>
            </w:pPr>
            <w:r w:rsidRPr="00BC5284">
              <w:rPr>
                <w:sz w:val="14"/>
                <w:szCs w:val="14"/>
              </w:rPr>
              <w:t>25</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7CECE6"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99065B" w14:textId="77777777" w:rsidR="00855241" w:rsidRPr="00BC5284" w:rsidRDefault="00855241">
            <w:pPr>
              <w:pStyle w:val="TableTextStocktake"/>
              <w:jc w:val="right"/>
            </w:pPr>
            <w:r w:rsidRPr="00BC5284">
              <w:rPr>
                <w:sz w:val="14"/>
                <w:szCs w:val="14"/>
              </w:rPr>
              <w:t>25</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B9587E8" w14:textId="77777777" w:rsidR="00855241" w:rsidRPr="00BC5284" w:rsidRDefault="00855241">
            <w:pPr>
              <w:pStyle w:val="TableTextStocktake"/>
              <w:jc w:val="right"/>
            </w:pPr>
            <w:r w:rsidRPr="00BC5284">
              <w:rPr>
                <w:sz w:val="14"/>
                <w:szCs w:val="14"/>
              </w:rPr>
              <w:t>25</w:t>
            </w:r>
          </w:p>
        </w:tc>
      </w:tr>
      <w:tr w:rsidR="00855241" w:rsidRPr="00BC5284" w14:paraId="3F2AB16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AA5E85" w14:textId="77777777" w:rsidR="00855241" w:rsidRPr="00BC5284" w:rsidRDefault="00855241">
            <w:pPr>
              <w:pStyle w:val="TableTextStocktake"/>
            </w:pPr>
            <w:r w:rsidRPr="00BC5284">
              <w:rPr>
                <w:sz w:val="14"/>
                <w:szCs w:val="14"/>
              </w:rPr>
              <w:t>Port of Melbourne</w:t>
            </w:r>
          </w:p>
        </w:tc>
        <w:tc>
          <w:tcPr>
            <w:tcW w:w="144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F8F367" w14:textId="77777777" w:rsidR="00855241" w:rsidRPr="00BC5284" w:rsidRDefault="00855241">
            <w:pPr>
              <w:pStyle w:val="TableTextStocktake"/>
            </w:pPr>
            <w:r w:rsidRPr="00BC5284">
              <w:rPr>
                <w:sz w:val="14"/>
                <w:szCs w:val="14"/>
              </w:rPr>
              <w:t>Non-LGA</w:t>
            </w:r>
          </w:p>
        </w:tc>
        <w:tc>
          <w:tcPr>
            <w:tcW w:w="659"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9E7D27" w14:textId="77777777" w:rsidR="00855241" w:rsidRPr="00BC5284" w:rsidRDefault="00855241">
            <w:pPr>
              <w:pStyle w:val="TableTextStocktake"/>
              <w:jc w:val="right"/>
            </w:pPr>
            <w:r w:rsidRPr="00BC5284">
              <w:rPr>
                <w:sz w:val="14"/>
                <w:szCs w:val="14"/>
              </w:rPr>
              <w:t>N/A</w:t>
            </w:r>
          </w:p>
        </w:tc>
        <w:tc>
          <w:tcPr>
            <w:tcW w:w="684"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3406A1" w14:textId="77777777" w:rsidR="00855241" w:rsidRPr="00BC5284" w:rsidRDefault="00855241">
            <w:pPr>
              <w:pStyle w:val="TableTextStocktake"/>
              <w:jc w:val="right"/>
            </w:pPr>
            <w:r w:rsidRPr="00BC5284">
              <w:rPr>
                <w:sz w:val="14"/>
                <w:szCs w:val="14"/>
              </w:rPr>
              <w:t>N/A</w:t>
            </w:r>
          </w:p>
        </w:tc>
        <w:tc>
          <w:tcPr>
            <w:tcW w:w="1275"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EF1094" w14:textId="77777777" w:rsidR="00855241" w:rsidRPr="00BC5284" w:rsidRDefault="00855241">
            <w:pPr>
              <w:pStyle w:val="TableTextStocktake"/>
              <w:jc w:val="right"/>
            </w:pPr>
            <w:r w:rsidRPr="00BC5284">
              <w:rPr>
                <w:sz w:val="14"/>
                <w:szCs w:val="14"/>
              </w:rPr>
              <w:t>7</w:t>
            </w:r>
          </w:p>
        </w:tc>
        <w:tc>
          <w:tcPr>
            <w:tcW w:w="92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5BB92E" w14:textId="77777777" w:rsidR="00855241" w:rsidRPr="00BC5284" w:rsidRDefault="00855241">
            <w:pPr>
              <w:pStyle w:val="TableTextStocktake"/>
              <w:jc w:val="right"/>
            </w:pPr>
            <w:r w:rsidRPr="00BC5284">
              <w:rPr>
                <w:sz w:val="14"/>
                <w:szCs w:val="14"/>
              </w:rPr>
              <w:t>3</w:t>
            </w:r>
          </w:p>
        </w:tc>
        <w:tc>
          <w:tcPr>
            <w:tcW w:w="817" w:type="dxa"/>
            <w:gridSpan w:val="3"/>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DC1B7C" w14:textId="77777777" w:rsidR="00855241" w:rsidRPr="00BC5284" w:rsidRDefault="00855241">
            <w:pPr>
              <w:pStyle w:val="TableTextStocktake"/>
              <w:jc w:val="right"/>
            </w:pPr>
            <w:r w:rsidRPr="00BC5284">
              <w:rPr>
                <w:sz w:val="14"/>
                <w:szCs w:val="14"/>
              </w:rPr>
              <w:t>10</w:t>
            </w:r>
          </w:p>
        </w:tc>
        <w:tc>
          <w:tcPr>
            <w:tcW w:w="933"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1754F7" w14:textId="77777777" w:rsidR="00855241" w:rsidRPr="00BC5284" w:rsidRDefault="00855241">
            <w:pPr>
              <w:pStyle w:val="TableTextStocktake"/>
              <w:jc w:val="right"/>
            </w:pPr>
            <w:r w:rsidRPr="00BC5284">
              <w:rPr>
                <w:sz w:val="14"/>
                <w:szCs w:val="14"/>
              </w:rPr>
              <w:t>0</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235761" w14:textId="77777777" w:rsidR="00855241" w:rsidRPr="00BC5284" w:rsidRDefault="00855241">
            <w:pPr>
              <w:pStyle w:val="TableTextStocktake"/>
              <w:jc w:val="right"/>
            </w:pPr>
            <w:r w:rsidRPr="00BC5284">
              <w:rPr>
                <w:sz w:val="14"/>
                <w:szCs w:val="14"/>
              </w:rPr>
              <w:t>10</w:t>
            </w:r>
          </w:p>
        </w:tc>
        <w:tc>
          <w:tcPr>
            <w:tcW w:w="709"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CDC014D" w14:textId="77777777" w:rsidR="00855241" w:rsidRPr="00BC5284" w:rsidRDefault="00855241">
            <w:pPr>
              <w:pStyle w:val="TableTextStocktake"/>
              <w:jc w:val="right"/>
            </w:pPr>
            <w:r w:rsidRPr="00BC5284">
              <w:rPr>
                <w:sz w:val="14"/>
                <w:szCs w:val="14"/>
              </w:rPr>
              <w:t>15</w:t>
            </w:r>
          </w:p>
        </w:tc>
      </w:tr>
      <w:tr w:rsidR="00855241" w:rsidRPr="00BC5284" w14:paraId="43E7AC4E" w14:textId="77777777" w:rsidTr="00073CE4">
        <w:trPr>
          <w:trHeight w:val="60"/>
        </w:trPr>
        <w:tc>
          <w:tcPr>
            <w:tcW w:w="2195"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63E397E0" w14:textId="77777777" w:rsidR="00855241" w:rsidRPr="00BC5284" w:rsidRDefault="00855241">
            <w:pPr>
              <w:pStyle w:val="NoParagraphStyle"/>
              <w:spacing w:line="240" w:lineRule="auto"/>
              <w:textAlignment w:val="auto"/>
              <w:rPr>
                <w:rFonts w:cs="Times New Roman"/>
                <w:color w:val="auto"/>
              </w:rPr>
            </w:pPr>
          </w:p>
        </w:tc>
        <w:tc>
          <w:tcPr>
            <w:tcW w:w="1447"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2D464AB6" w14:textId="77777777" w:rsidR="00855241" w:rsidRPr="00BC5284" w:rsidRDefault="00855241">
            <w:pPr>
              <w:pStyle w:val="NoParagraphStyle"/>
              <w:spacing w:line="240" w:lineRule="auto"/>
              <w:textAlignment w:val="auto"/>
              <w:rPr>
                <w:rFonts w:cs="Times New Roman"/>
                <w:color w:val="auto"/>
              </w:rPr>
            </w:pPr>
          </w:p>
        </w:tc>
        <w:tc>
          <w:tcPr>
            <w:tcW w:w="659"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7CACF5E4" w14:textId="77777777" w:rsidR="00855241" w:rsidRPr="00BC5284" w:rsidRDefault="00855241">
            <w:pPr>
              <w:pStyle w:val="NoParagraphStyle"/>
              <w:spacing w:line="240" w:lineRule="auto"/>
              <w:textAlignment w:val="auto"/>
              <w:rPr>
                <w:rFonts w:cs="Times New Roman"/>
                <w:color w:val="auto"/>
              </w:rPr>
            </w:pPr>
          </w:p>
        </w:tc>
        <w:tc>
          <w:tcPr>
            <w:tcW w:w="684"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12621A80" w14:textId="77777777" w:rsidR="00855241" w:rsidRPr="00BC5284" w:rsidRDefault="00855241">
            <w:pPr>
              <w:pStyle w:val="TableTextStocktake"/>
              <w:jc w:val="right"/>
            </w:pPr>
            <w:r w:rsidRPr="00BC5284">
              <w:rPr>
                <w:rFonts w:ascii="FreightSans Pro Bold" w:hAnsi="FreightSans Pro Bold" w:cs="FreightSans Pro Bold"/>
                <w:b/>
                <w:bCs/>
                <w:sz w:val="14"/>
                <w:szCs w:val="14"/>
              </w:rPr>
              <w:t>Total</w:t>
            </w:r>
          </w:p>
        </w:tc>
        <w:tc>
          <w:tcPr>
            <w:tcW w:w="1275"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589F5EEA" w14:textId="77777777" w:rsidR="00855241" w:rsidRPr="00BC5284" w:rsidRDefault="00855241">
            <w:pPr>
              <w:pStyle w:val="TableTextStocktake"/>
              <w:jc w:val="right"/>
            </w:pPr>
            <w:r w:rsidRPr="00BC5284">
              <w:rPr>
                <w:rFonts w:ascii="FreightSans Pro Bold" w:hAnsi="FreightSans Pro Bold" w:cs="FreightSans Pro Bold"/>
                <w:b/>
                <w:bCs/>
                <w:sz w:val="14"/>
                <w:szCs w:val="14"/>
              </w:rPr>
              <w:t>2,324</w:t>
            </w:r>
          </w:p>
        </w:tc>
        <w:tc>
          <w:tcPr>
            <w:tcW w:w="921"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75091C9C" w14:textId="77777777" w:rsidR="00855241" w:rsidRPr="00BC5284" w:rsidRDefault="00855241">
            <w:pPr>
              <w:pStyle w:val="TableTextStocktake"/>
              <w:jc w:val="right"/>
            </w:pPr>
            <w:r w:rsidRPr="00BC5284">
              <w:rPr>
                <w:rFonts w:ascii="FreightSans Pro Bold" w:hAnsi="FreightSans Pro Bold" w:cs="FreightSans Pro Bold"/>
                <w:b/>
                <w:bCs/>
                <w:sz w:val="14"/>
                <w:szCs w:val="14"/>
              </w:rPr>
              <w:t>17,992</w:t>
            </w:r>
          </w:p>
        </w:tc>
        <w:tc>
          <w:tcPr>
            <w:tcW w:w="817" w:type="dxa"/>
            <w:gridSpan w:val="3"/>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799B7232" w14:textId="77777777" w:rsidR="00855241" w:rsidRPr="00BC5284" w:rsidRDefault="00855241">
            <w:pPr>
              <w:pStyle w:val="TableTextStocktake"/>
              <w:jc w:val="right"/>
            </w:pPr>
            <w:r w:rsidRPr="00BC5284">
              <w:rPr>
                <w:rFonts w:ascii="FreightSans Pro Bold" w:hAnsi="FreightSans Pro Bold" w:cs="FreightSans Pro Bold"/>
                <w:b/>
                <w:bCs/>
                <w:sz w:val="14"/>
                <w:szCs w:val="14"/>
              </w:rPr>
              <w:t>20,316</w:t>
            </w:r>
          </w:p>
        </w:tc>
        <w:tc>
          <w:tcPr>
            <w:tcW w:w="933"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5B78ED29" w14:textId="77777777" w:rsidR="00855241" w:rsidRPr="00BC5284" w:rsidRDefault="00855241">
            <w:pPr>
              <w:pStyle w:val="TableTextStocktake"/>
              <w:jc w:val="right"/>
            </w:pPr>
            <w:r w:rsidRPr="00BC5284">
              <w:rPr>
                <w:rFonts w:ascii="FreightSans Pro Bold" w:hAnsi="FreightSans Pro Bold" w:cs="FreightSans Pro Bold"/>
                <w:b/>
                <w:bCs/>
                <w:sz w:val="14"/>
                <w:szCs w:val="14"/>
              </w:rPr>
              <w:t>1,103</w:t>
            </w:r>
          </w:p>
        </w:tc>
        <w:tc>
          <w:tcPr>
            <w:tcW w:w="850"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492F279E" w14:textId="77777777" w:rsidR="00855241" w:rsidRPr="00BC5284" w:rsidRDefault="00855241">
            <w:pPr>
              <w:pStyle w:val="TableTextStocktake"/>
              <w:jc w:val="right"/>
            </w:pPr>
            <w:r w:rsidRPr="00BC5284">
              <w:rPr>
                <w:rFonts w:ascii="FreightSans Pro Bold" w:hAnsi="FreightSans Pro Bold" w:cs="FreightSans Pro Bold"/>
                <w:b/>
                <w:bCs/>
                <w:sz w:val="14"/>
                <w:szCs w:val="14"/>
              </w:rPr>
              <w:t>21,419</w:t>
            </w:r>
          </w:p>
        </w:tc>
        <w:tc>
          <w:tcPr>
            <w:tcW w:w="709" w:type="dxa"/>
            <w:tcBorders>
              <w:top w:val="single" w:sz="2" w:space="0" w:color="000000"/>
              <w:left w:val="single" w:sz="6" w:space="0" w:color="000000"/>
              <w:bottom w:val="single" w:sz="6" w:space="0" w:color="000000"/>
              <w:right w:val="single" w:sz="6" w:space="0" w:color="auto"/>
            </w:tcBorders>
            <w:tcMar>
              <w:top w:w="113" w:type="dxa"/>
              <w:left w:w="80" w:type="dxa"/>
              <w:bottom w:w="57" w:type="dxa"/>
              <w:right w:w="80" w:type="dxa"/>
            </w:tcMar>
          </w:tcPr>
          <w:p w14:paraId="310FBD8E" w14:textId="77777777" w:rsidR="00855241" w:rsidRPr="00BC5284" w:rsidRDefault="00855241">
            <w:pPr>
              <w:pStyle w:val="TableTextStocktake"/>
              <w:jc w:val="right"/>
            </w:pPr>
            <w:r w:rsidRPr="00BC5284">
              <w:rPr>
                <w:rFonts w:ascii="FreightSans Pro Bold" w:hAnsi="FreightSans Pro Bold" w:cs="FreightSans Pro Bold"/>
                <w:b/>
                <w:bCs/>
                <w:sz w:val="14"/>
                <w:szCs w:val="14"/>
              </w:rPr>
              <w:t>186,565</w:t>
            </w:r>
          </w:p>
        </w:tc>
      </w:tr>
      <w:tr w:rsidR="00F80BF7" w:rsidRPr="00BC5284" w14:paraId="61362AA3" w14:textId="77777777" w:rsidTr="00073CE4">
        <w:trPr>
          <w:trHeight w:val="60"/>
        </w:trPr>
        <w:tc>
          <w:tcPr>
            <w:tcW w:w="2195"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29C9FD43" w14:textId="77777777" w:rsidR="00F80BF7" w:rsidRPr="00BC5284" w:rsidRDefault="00F80BF7">
            <w:pPr>
              <w:pStyle w:val="NoParagraphStyle"/>
              <w:spacing w:line="240" w:lineRule="auto"/>
              <w:textAlignment w:val="auto"/>
              <w:rPr>
                <w:rFonts w:cs="Times New Roman"/>
                <w:color w:val="auto"/>
              </w:rPr>
            </w:pPr>
          </w:p>
        </w:tc>
        <w:tc>
          <w:tcPr>
            <w:tcW w:w="1447"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4505AD69" w14:textId="77777777" w:rsidR="00F80BF7" w:rsidRPr="00BC5284" w:rsidRDefault="00F80BF7">
            <w:pPr>
              <w:pStyle w:val="NoParagraphStyle"/>
              <w:spacing w:line="240" w:lineRule="auto"/>
              <w:textAlignment w:val="auto"/>
              <w:rPr>
                <w:rFonts w:cs="Times New Roman"/>
                <w:color w:val="auto"/>
              </w:rPr>
            </w:pPr>
          </w:p>
        </w:tc>
        <w:tc>
          <w:tcPr>
            <w:tcW w:w="659"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05DA6639" w14:textId="77777777" w:rsidR="00F80BF7" w:rsidRPr="00BC5284" w:rsidRDefault="00F80BF7">
            <w:pPr>
              <w:pStyle w:val="NoParagraphStyle"/>
              <w:spacing w:line="240" w:lineRule="auto"/>
              <w:textAlignment w:val="auto"/>
              <w:rPr>
                <w:rFonts w:cs="Times New Roman"/>
                <w:color w:val="auto"/>
              </w:rPr>
            </w:pPr>
          </w:p>
        </w:tc>
        <w:tc>
          <w:tcPr>
            <w:tcW w:w="684"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26903A5A" w14:textId="77777777" w:rsidR="00F80BF7" w:rsidRPr="00BC5284" w:rsidRDefault="00F80BF7">
            <w:pPr>
              <w:pStyle w:val="TableTextStocktake"/>
              <w:jc w:val="right"/>
              <w:rPr>
                <w:rFonts w:ascii="FreightSans Pro Bold" w:hAnsi="FreightSans Pro Bold" w:cs="FreightSans Pro Bold"/>
                <w:b/>
                <w:bCs/>
                <w:sz w:val="14"/>
                <w:szCs w:val="14"/>
              </w:rPr>
            </w:pPr>
          </w:p>
        </w:tc>
        <w:tc>
          <w:tcPr>
            <w:tcW w:w="1275"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061B5788" w14:textId="77777777" w:rsidR="00F80BF7" w:rsidRPr="00BC5284" w:rsidRDefault="00F80BF7">
            <w:pPr>
              <w:pStyle w:val="TableTextStocktake"/>
              <w:jc w:val="right"/>
              <w:rPr>
                <w:rFonts w:ascii="FreightSans Pro Bold" w:hAnsi="FreightSans Pro Bold" w:cs="FreightSans Pro Bold"/>
                <w:b/>
                <w:bCs/>
                <w:sz w:val="14"/>
                <w:szCs w:val="14"/>
              </w:rPr>
            </w:pPr>
          </w:p>
        </w:tc>
        <w:tc>
          <w:tcPr>
            <w:tcW w:w="921"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61F99ECC" w14:textId="77777777" w:rsidR="00F80BF7" w:rsidRPr="00BC5284" w:rsidRDefault="00F80BF7">
            <w:pPr>
              <w:pStyle w:val="TableTextStocktake"/>
              <w:jc w:val="right"/>
              <w:rPr>
                <w:rFonts w:ascii="FreightSans Pro Bold" w:hAnsi="FreightSans Pro Bold" w:cs="FreightSans Pro Bold"/>
                <w:b/>
                <w:bCs/>
                <w:sz w:val="14"/>
                <w:szCs w:val="14"/>
              </w:rPr>
            </w:pPr>
          </w:p>
        </w:tc>
        <w:tc>
          <w:tcPr>
            <w:tcW w:w="817" w:type="dxa"/>
            <w:gridSpan w:val="3"/>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404DE043" w14:textId="77777777" w:rsidR="00F80BF7" w:rsidRPr="00BC5284" w:rsidRDefault="00F80BF7">
            <w:pPr>
              <w:pStyle w:val="TableTextStocktake"/>
              <w:jc w:val="right"/>
              <w:rPr>
                <w:rFonts w:ascii="FreightSans Pro Bold" w:hAnsi="FreightSans Pro Bold" w:cs="FreightSans Pro Bold"/>
                <w:b/>
                <w:bCs/>
                <w:sz w:val="14"/>
                <w:szCs w:val="14"/>
              </w:rPr>
            </w:pPr>
          </w:p>
        </w:tc>
        <w:tc>
          <w:tcPr>
            <w:tcW w:w="933" w:type="dxa"/>
            <w:gridSpan w:val="2"/>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06A13040" w14:textId="77777777" w:rsidR="00F80BF7" w:rsidRPr="00BC5284" w:rsidRDefault="00F80BF7">
            <w:pPr>
              <w:pStyle w:val="TableTextStocktake"/>
              <w:jc w:val="right"/>
              <w:rPr>
                <w:rFonts w:ascii="FreightSans Pro Bold" w:hAnsi="FreightSans Pro Bold" w:cs="FreightSans Pro Bold"/>
                <w:b/>
                <w:bCs/>
                <w:sz w:val="14"/>
                <w:szCs w:val="14"/>
              </w:rPr>
            </w:pPr>
          </w:p>
        </w:tc>
        <w:tc>
          <w:tcPr>
            <w:tcW w:w="850" w:type="dxa"/>
            <w:tcBorders>
              <w:top w:val="single" w:sz="2" w:space="0" w:color="000000"/>
              <w:left w:val="single" w:sz="6" w:space="0" w:color="000000"/>
              <w:bottom w:val="single" w:sz="6" w:space="0" w:color="000000"/>
              <w:right w:val="single" w:sz="6" w:space="0" w:color="000000"/>
            </w:tcBorders>
            <w:tcMar>
              <w:top w:w="113" w:type="dxa"/>
              <w:left w:w="80" w:type="dxa"/>
              <w:bottom w:w="57" w:type="dxa"/>
              <w:right w:w="80" w:type="dxa"/>
            </w:tcMar>
          </w:tcPr>
          <w:p w14:paraId="70C4CCC8" w14:textId="77777777" w:rsidR="00F80BF7" w:rsidRPr="00BC5284" w:rsidRDefault="00F80BF7">
            <w:pPr>
              <w:pStyle w:val="TableTextStocktake"/>
              <w:jc w:val="right"/>
              <w:rPr>
                <w:rFonts w:ascii="FreightSans Pro Bold" w:hAnsi="FreightSans Pro Bold" w:cs="FreightSans Pro Bold"/>
                <w:b/>
                <w:bCs/>
                <w:sz w:val="14"/>
                <w:szCs w:val="14"/>
              </w:rPr>
            </w:pPr>
          </w:p>
        </w:tc>
        <w:tc>
          <w:tcPr>
            <w:tcW w:w="709" w:type="dxa"/>
            <w:tcBorders>
              <w:top w:val="single" w:sz="2" w:space="0" w:color="000000"/>
              <w:left w:val="single" w:sz="6" w:space="0" w:color="000000"/>
              <w:bottom w:val="single" w:sz="6" w:space="0" w:color="000000"/>
              <w:right w:val="single" w:sz="6" w:space="0" w:color="auto"/>
            </w:tcBorders>
            <w:tcMar>
              <w:top w:w="113" w:type="dxa"/>
              <w:left w:w="80" w:type="dxa"/>
              <w:bottom w:w="57" w:type="dxa"/>
              <w:right w:w="80" w:type="dxa"/>
            </w:tcMar>
          </w:tcPr>
          <w:p w14:paraId="48F10413" w14:textId="77777777" w:rsidR="00F80BF7" w:rsidRPr="00BC5284" w:rsidRDefault="00F80BF7">
            <w:pPr>
              <w:pStyle w:val="TableTextStocktake"/>
              <w:jc w:val="right"/>
              <w:rPr>
                <w:rFonts w:ascii="FreightSans Pro Bold" w:hAnsi="FreightSans Pro Bold" w:cs="FreightSans Pro Bold"/>
                <w:b/>
                <w:bCs/>
                <w:sz w:val="14"/>
                <w:szCs w:val="14"/>
              </w:rPr>
            </w:pPr>
          </w:p>
        </w:tc>
      </w:tr>
      <w:tr w:rsidR="00073CE4" w:rsidRPr="00F80BF7" w14:paraId="482F3CEB" w14:textId="77777777" w:rsidTr="00073CE4">
        <w:trPr>
          <w:trHeight w:val="2934"/>
        </w:trPr>
        <w:tc>
          <w:tcPr>
            <w:tcW w:w="2195"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cPr>
          <w:p w14:paraId="760E91F8" w14:textId="77777777" w:rsidR="00855241" w:rsidRPr="00F80BF7" w:rsidRDefault="00855241" w:rsidP="00B73FFA">
            <w:pPr>
              <w:pStyle w:val="TableText"/>
            </w:pPr>
            <w:r w:rsidRPr="00F80BF7">
              <w:rPr>
                <w:rStyle w:val="TabletextBold"/>
                <w:sz w:val="14"/>
                <w:szCs w:val="14"/>
              </w:rPr>
              <w:t>Council (Type)</w:t>
            </w:r>
          </w:p>
        </w:tc>
        <w:tc>
          <w:tcPr>
            <w:tcW w:w="1447"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cPr>
          <w:p w14:paraId="2802C05F" w14:textId="77777777" w:rsidR="00855241" w:rsidRPr="00F80BF7" w:rsidRDefault="00855241" w:rsidP="00B73FFA">
            <w:pPr>
              <w:pStyle w:val="TableText"/>
            </w:pPr>
            <w:r w:rsidRPr="00F80BF7">
              <w:rPr>
                <w:rStyle w:val="TabletextBold"/>
                <w:sz w:val="14"/>
                <w:szCs w:val="14"/>
              </w:rPr>
              <w:t>Council grouping</w:t>
            </w:r>
          </w:p>
        </w:tc>
        <w:tc>
          <w:tcPr>
            <w:tcW w:w="652"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0C9AB7EF" w14:textId="77777777" w:rsidR="00855241" w:rsidRPr="00F80BF7" w:rsidRDefault="00855241" w:rsidP="00B73FFA">
            <w:pPr>
              <w:pStyle w:val="TableText"/>
              <w:rPr>
                <w:kern w:val="10"/>
              </w:rPr>
            </w:pPr>
            <w:r w:rsidRPr="00F80BF7">
              <w:rPr>
                <w:rStyle w:val="TabletextBold"/>
                <w:kern w:val="10"/>
                <w:sz w:val="14"/>
                <w:szCs w:val="14"/>
              </w:rPr>
              <w:t>Has council undertaken a heritage study in the past three years?</w:t>
            </w:r>
          </w:p>
        </w:tc>
        <w:tc>
          <w:tcPr>
            <w:tcW w:w="691"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268F00E0" w14:textId="77777777" w:rsidR="00855241" w:rsidRPr="00F80BF7" w:rsidRDefault="00855241" w:rsidP="00B73FFA">
            <w:pPr>
              <w:pStyle w:val="TableText"/>
              <w:rPr>
                <w:kern w:val="10"/>
              </w:rPr>
            </w:pPr>
            <w:r w:rsidRPr="00F80BF7">
              <w:rPr>
                <w:rStyle w:val="TabletextBold"/>
                <w:kern w:val="10"/>
                <w:sz w:val="14"/>
                <w:szCs w:val="14"/>
              </w:rPr>
              <w:t>Does council have place-type gaps in its heritage studies?</w:t>
            </w:r>
          </w:p>
        </w:tc>
        <w:tc>
          <w:tcPr>
            <w:tcW w:w="708"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7215BED" w14:textId="77777777" w:rsidR="00855241" w:rsidRPr="00F80BF7" w:rsidRDefault="00855241" w:rsidP="00B73FFA">
            <w:pPr>
              <w:pStyle w:val="TableText"/>
              <w:rPr>
                <w:kern w:val="10"/>
              </w:rPr>
            </w:pPr>
            <w:r w:rsidRPr="00F80BF7">
              <w:rPr>
                <w:rStyle w:val="TabletextBold"/>
                <w:kern w:val="10"/>
                <w:sz w:val="14"/>
                <w:szCs w:val="14"/>
              </w:rPr>
              <w:t>Does council have geographical gaps in its heritage studies?</w:t>
            </w:r>
          </w:p>
        </w:tc>
        <w:tc>
          <w:tcPr>
            <w:tcW w:w="567"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35D08909" w14:textId="77777777" w:rsidR="00855241" w:rsidRPr="00F80BF7" w:rsidRDefault="00855241" w:rsidP="00B73FFA">
            <w:pPr>
              <w:pStyle w:val="TableText"/>
              <w:rPr>
                <w:kern w:val="10"/>
              </w:rPr>
            </w:pPr>
            <w:r w:rsidRPr="00F80BF7">
              <w:rPr>
                <w:rStyle w:val="TabletextBold"/>
                <w:kern w:val="10"/>
                <w:sz w:val="14"/>
                <w:szCs w:val="14"/>
              </w:rPr>
              <w:t>Has council translated all its heritage studies into HOs?</w:t>
            </w:r>
          </w:p>
        </w:tc>
        <w:tc>
          <w:tcPr>
            <w:tcW w:w="426"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1C25F45D" w14:textId="77777777" w:rsidR="00855241" w:rsidRPr="00F80BF7" w:rsidRDefault="00855241" w:rsidP="00B73FFA">
            <w:pPr>
              <w:pStyle w:val="TableText"/>
              <w:rPr>
                <w:kern w:val="10"/>
              </w:rPr>
            </w:pPr>
            <w:r w:rsidRPr="00F80BF7">
              <w:rPr>
                <w:rStyle w:val="TabletextBold"/>
                <w:kern w:val="10"/>
                <w:sz w:val="14"/>
                <w:szCs w:val="14"/>
              </w:rPr>
              <w:t>Does council have a heritage strategy or plan?</w:t>
            </w:r>
          </w:p>
        </w:tc>
        <w:tc>
          <w:tcPr>
            <w:tcW w:w="567"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771C624F" w14:textId="77777777" w:rsidR="00855241" w:rsidRPr="00F80BF7" w:rsidRDefault="00855241" w:rsidP="00B73FFA">
            <w:pPr>
              <w:pStyle w:val="TableText"/>
              <w:rPr>
                <w:kern w:val="10"/>
              </w:rPr>
            </w:pPr>
            <w:r w:rsidRPr="00F80BF7">
              <w:rPr>
                <w:rStyle w:val="TabletextBold"/>
                <w:kern w:val="10"/>
                <w:sz w:val="14"/>
                <w:szCs w:val="14"/>
              </w:rPr>
              <w:t>Does council have a consultant Heritage Advisor?</w:t>
            </w:r>
          </w:p>
        </w:tc>
        <w:tc>
          <w:tcPr>
            <w:tcW w:w="425"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16F45854" w14:textId="77777777" w:rsidR="00855241" w:rsidRPr="00F80BF7" w:rsidRDefault="00855241" w:rsidP="00B73FFA">
            <w:pPr>
              <w:pStyle w:val="TableText"/>
              <w:rPr>
                <w:kern w:val="10"/>
              </w:rPr>
            </w:pPr>
            <w:r w:rsidRPr="00F80BF7">
              <w:rPr>
                <w:rStyle w:val="TabletextBold"/>
                <w:kern w:val="10"/>
                <w:sz w:val="14"/>
                <w:szCs w:val="14"/>
              </w:rPr>
              <w:t>Does council have internal heritage staff?</w:t>
            </w:r>
          </w:p>
        </w:tc>
        <w:tc>
          <w:tcPr>
            <w:tcW w:w="567" w:type="dxa"/>
            <w:gridSpan w:val="2"/>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36ED4A16" w14:textId="77777777" w:rsidR="00855241" w:rsidRPr="00F80BF7" w:rsidRDefault="00855241" w:rsidP="00B73FFA">
            <w:pPr>
              <w:pStyle w:val="TableText"/>
              <w:rPr>
                <w:kern w:val="10"/>
              </w:rPr>
            </w:pPr>
            <w:r w:rsidRPr="00F80BF7">
              <w:rPr>
                <w:rStyle w:val="TabletextBold"/>
                <w:kern w:val="10"/>
                <w:sz w:val="14"/>
                <w:szCs w:val="14"/>
              </w:rPr>
              <w:t>Does council have a Heritage Advisory Committee?</w:t>
            </w:r>
          </w:p>
        </w:tc>
        <w:tc>
          <w:tcPr>
            <w:tcW w:w="686"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483FF0FA" w14:textId="77777777" w:rsidR="00855241" w:rsidRPr="00F80BF7" w:rsidRDefault="00855241" w:rsidP="00B73FFA">
            <w:pPr>
              <w:pStyle w:val="TableText"/>
              <w:rPr>
                <w:kern w:val="10"/>
              </w:rPr>
            </w:pPr>
            <w:r w:rsidRPr="00F80BF7">
              <w:rPr>
                <w:rStyle w:val="TabletextBold"/>
                <w:kern w:val="10"/>
                <w:sz w:val="14"/>
                <w:szCs w:val="14"/>
              </w:rPr>
              <w:t>Does council have measures to support the protection of historic heritage places?</w:t>
            </w:r>
          </w:p>
        </w:tc>
        <w:tc>
          <w:tcPr>
            <w:tcW w:w="850"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580C8F7E" w14:textId="77777777" w:rsidR="00855241" w:rsidRPr="00F80BF7" w:rsidRDefault="00855241" w:rsidP="00B73FFA">
            <w:pPr>
              <w:pStyle w:val="TableText"/>
              <w:rPr>
                <w:kern w:val="10"/>
              </w:rPr>
            </w:pPr>
            <w:r w:rsidRPr="00F80BF7">
              <w:rPr>
                <w:rStyle w:val="TabletextBold"/>
                <w:kern w:val="10"/>
                <w:sz w:val="14"/>
                <w:szCs w:val="14"/>
              </w:rPr>
              <w:t>Does council have mechanisms to communicate knowledge and celebrate historic heritage places?</w:t>
            </w:r>
          </w:p>
        </w:tc>
        <w:tc>
          <w:tcPr>
            <w:tcW w:w="709" w:type="dxa"/>
            <w:tcBorders>
              <w:top w:val="single" w:sz="6" w:space="0" w:color="000000"/>
              <w:left w:val="single" w:sz="6" w:space="0" w:color="000000"/>
              <w:bottom w:val="single" w:sz="2" w:space="0" w:color="000000"/>
              <w:right w:val="single" w:sz="6" w:space="0" w:color="000000"/>
            </w:tcBorders>
            <w:shd w:val="clear" w:color="313E48" w:fill="auto"/>
            <w:tcMar>
              <w:top w:w="80" w:type="dxa"/>
              <w:left w:w="80" w:type="dxa"/>
              <w:bottom w:w="80" w:type="dxa"/>
              <w:right w:w="80" w:type="dxa"/>
            </w:tcMar>
            <w:textDirection w:val="btLr"/>
          </w:tcPr>
          <w:p w14:paraId="74E9CB75" w14:textId="77777777" w:rsidR="00855241" w:rsidRPr="00F80BF7" w:rsidRDefault="00855241" w:rsidP="00B73FFA">
            <w:pPr>
              <w:pStyle w:val="TableText"/>
              <w:rPr>
                <w:kern w:val="10"/>
              </w:rPr>
            </w:pPr>
            <w:r w:rsidRPr="00F80BF7">
              <w:rPr>
                <w:rStyle w:val="TabletextBold"/>
                <w:kern w:val="10"/>
                <w:sz w:val="14"/>
                <w:szCs w:val="14"/>
              </w:rPr>
              <w:t>Does council have its local heritage data on HERMES?</w:t>
            </w:r>
          </w:p>
        </w:tc>
      </w:tr>
      <w:tr w:rsidR="00855241" w:rsidRPr="001772B0" w14:paraId="5E4FAE23" w14:textId="77777777" w:rsidTr="00073CE4">
        <w:trPr>
          <w:trHeight w:val="89"/>
        </w:trPr>
        <w:tc>
          <w:tcPr>
            <w:tcW w:w="2195"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5740CF1F" w14:textId="77777777" w:rsidR="00855241" w:rsidRDefault="00855241" w:rsidP="00B73FFA">
            <w:pPr>
              <w:pStyle w:val="TableTextStocktake"/>
            </w:pPr>
            <w:r>
              <w:rPr>
                <w:sz w:val="14"/>
                <w:szCs w:val="14"/>
              </w:rPr>
              <w:t>Alpine (S)</w:t>
            </w:r>
          </w:p>
        </w:tc>
        <w:tc>
          <w:tcPr>
            <w:tcW w:w="1447" w:type="dxa"/>
            <w:tcBorders>
              <w:top w:val="single" w:sz="2" w:space="0" w:color="000000"/>
              <w:left w:val="single" w:sz="6" w:space="0" w:color="000000"/>
              <w:bottom w:val="single" w:sz="2" w:space="0" w:color="000000"/>
              <w:right w:val="single" w:sz="6" w:space="0" w:color="7BCCC4"/>
            </w:tcBorders>
            <w:tcMar>
              <w:top w:w="40" w:type="dxa"/>
              <w:left w:w="80" w:type="dxa"/>
              <w:bottom w:w="37" w:type="dxa"/>
              <w:right w:w="80" w:type="dxa"/>
            </w:tcMar>
          </w:tcPr>
          <w:p w14:paraId="6C56CA9A"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40" w:type="dxa"/>
              <w:left w:w="80" w:type="dxa"/>
              <w:bottom w:w="37" w:type="dxa"/>
              <w:right w:w="80" w:type="dxa"/>
            </w:tcMar>
          </w:tcPr>
          <w:p w14:paraId="58A756D4"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26BAD79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68EE584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1ABDAF7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7A01B5AE"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2EA3D6AA"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5E6EF46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61A1DEB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19E901A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1AF0EC83"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40" w:type="dxa"/>
              <w:left w:w="80" w:type="dxa"/>
              <w:bottom w:w="37" w:type="dxa"/>
              <w:right w:w="80" w:type="dxa"/>
            </w:tcMar>
          </w:tcPr>
          <w:p w14:paraId="27AE21B4" w14:textId="77777777" w:rsidR="00855241" w:rsidRDefault="00855241" w:rsidP="00B73FFA">
            <w:pPr>
              <w:pStyle w:val="TableTextStocktake"/>
              <w:jc w:val="center"/>
            </w:pPr>
            <w:r>
              <w:rPr>
                <w:sz w:val="14"/>
                <w:szCs w:val="14"/>
              </w:rPr>
              <w:t>Yes</w:t>
            </w:r>
          </w:p>
        </w:tc>
      </w:tr>
      <w:tr w:rsidR="00855241" w:rsidRPr="001772B0" w14:paraId="58092D6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D853F3" w14:textId="77777777" w:rsidR="00855241" w:rsidRDefault="00855241" w:rsidP="00B73FFA">
            <w:pPr>
              <w:pStyle w:val="TableTextStocktake"/>
            </w:pPr>
            <w:r>
              <w:rPr>
                <w:sz w:val="14"/>
                <w:szCs w:val="14"/>
              </w:rPr>
              <w:t>Ararat (RC)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31965F2"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068D87F"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4642FA"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842533"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93C7B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621F3B"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551384"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DA9D2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CC823D"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AD5585"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B6B6CC"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8F5DAB" w14:textId="77777777" w:rsidR="00855241" w:rsidRDefault="00855241" w:rsidP="00B73FFA">
            <w:pPr>
              <w:pStyle w:val="TableTextStocktake"/>
              <w:jc w:val="center"/>
            </w:pPr>
            <w:r>
              <w:rPr>
                <w:sz w:val="14"/>
                <w:szCs w:val="14"/>
              </w:rPr>
              <w:t>No</w:t>
            </w:r>
          </w:p>
        </w:tc>
      </w:tr>
      <w:tr w:rsidR="00855241" w:rsidRPr="001772B0" w14:paraId="7922FE0E"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1ECE48" w14:textId="77777777" w:rsidR="00855241" w:rsidRDefault="00855241" w:rsidP="00B73FFA">
            <w:pPr>
              <w:pStyle w:val="TableTextStocktake"/>
            </w:pPr>
            <w:r>
              <w:rPr>
                <w:sz w:val="14"/>
                <w:szCs w:val="14"/>
              </w:rPr>
              <w:t>Ballarat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FDC9D82"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D938015"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A58936"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8D9F75"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2AFFE2"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A7334D"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6805A4"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AD10EF"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6F8F0C"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CF7A54"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94C07C"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A911F7" w14:textId="77777777" w:rsidR="00855241" w:rsidRDefault="00855241" w:rsidP="00B73FFA">
            <w:pPr>
              <w:pStyle w:val="TableTextStocktake"/>
              <w:jc w:val="center"/>
            </w:pPr>
            <w:r>
              <w:rPr>
                <w:sz w:val="14"/>
                <w:szCs w:val="14"/>
              </w:rPr>
              <w:t>Yes</w:t>
            </w:r>
          </w:p>
        </w:tc>
      </w:tr>
      <w:tr w:rsidR="00855241" w:rsidRPr="001772B0" w14:paraId="7EE603D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794A4F" w14:textId="77777777" w:rsidR="00855241" w:rsidRDefault="00855241" w:rsidP="00B73FFA">
            <w:pPr>
              <w:pStyle w:val="TableTextStocktake"/>
            </w:pPr>
            <w:r>
              <w:rPr>
                <w:sz w:val="14"/>
                <w:szCs w:val="14"/>
              </w:rPr>
              <w:t>Banyule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E248FD8"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7BAF0E75"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CA992A"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62A112"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CA0DF4"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85F806"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88C25E"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954ED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FF4F66"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A95D118"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838C23"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A415D3" w14:textId="77777777" w:rsidR="00855241" w:rsidRDefault="00855241" w:rsidP="00B73FFA">
            <w:pPr>
              <w:pStyle w:val="TableTextStocktake"/>
              <w:jc w:val="center"/>
            </w:pPr>
            <w:r>
              <w:rPr>
                <w:sz w:val="14"/>
                <w:szCs w:val="14"/>
              </w:rPr>
              <w:t>Yes</w:t>
            </w:r>
          </w:p>
        </w:tc>
      </w:tr>
      <w:tr w:rsidR="00855241" w:rsidRPr="001772B0" w14:paraId="0BAEE2E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2E0DD2" w14:textId="77777777" w:rsidR="00855241" w:rsidRDefault="00855241" w:rsidP="00B73FFA">
            <w:pPr>
              <w:pStyle w:val="TableTextStocktake"/>
            </w:pPr>
            <w:r>
              <w:rPr>
                <w:sz w:val="14"/>
                <w:szCs w:val="14"/>
              </w:rPr>
              <w:t>Bass Coast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6D50C7A"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64C8055"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E418D0"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98DEE4"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ABD06E"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67F2B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D624E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527906"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F9C37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CD1987"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5933C5"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2403B5" w14:textId="77777777" w:rsidR="00855241" w:rsidRDefault="00855241" w:rsidP="00B73FFA">
            <w:pPr>
              <w:pStyle w:val="TableTextStocktake"/>
              <w:jc w:val="center"/>
            </w:pPr>
            <w:r>
              <w:rPr>
                <w:sz w:val="14"/>
                <w:szCs w:val="14"/>
              </w:rPr>
              <w:t>No</w:t>
            </w:r>
          </w:p>
        </w:tc>
      </w:tr>
      <w:tr w:rsidR="00855241" w:rsidRPr="001772B0" w14:paraId="258C7E7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42F7C7" w14:textId="77777777" w:rsidR="00855241" w:rsidRDefault="00855241" w:rsidP="00B73FFA">
            <w:pPr>
              <w:pStyle w:val="TableTextStocktake"/>
            </w:pPr>
            <w:r>
              <w:rPr>
                <w:sz w:val="14"/>
                <w:szCs w:val="14"/>
              </w:rPr>
              <w:t>Baw Baw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7287AE9"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70032E2"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ACD3B4"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4284CC"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ED48E0"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1166C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A0E358"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3E74E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174B6E"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B5BDCA"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3EA78D"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AEBCC5" w14:textId="77777777" w:rsidR="00855241" w:rsidRDefault="00855241" w:rsidP="00B73FFA">
            <w:pPr>
              <w:pStyle w:val="TableTextStocktake"/>
              <w:jc w:val="center"/>
            </w:pPr>
            <w:r>
              <w:rPr>
                <w:sz w:val="14"/>
                <w:szCs w:val="14"/>
              </w:rPr>
              <w:t>Yes</w:t>
            </w:r>
          </w:p>
        </w:tc>
      </w:tr>
      <w:tr w:rsidR="00855241" w:rsidRPr="001772B0" w14:paraId="7C0FD51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DBD40D" w14:textId="77777777" w:rsidR="00855241" w:rsidRDefault="00855241" w:rsidP="00B73FFA">
            <w:pPr>
              <w:pStyle w:val="TableTextStocktake"/>
            </w:pPr>
            <w:r>
              <w:rPr>
                <w:sz w:val="14"/>
                <w:szCs w:val="14"/>
              </w:rPr>
              <w:t>Bayside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162BB22"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3B1DAF8"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2A5135"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7A346C"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39E8BB"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A20B13"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8FBA22"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E4893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70B4D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D53B0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461624"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CC4F6D" w14:textId="77777777" w:rsidR="00855241" w:rsidRDefault="00855241" w:rsidP="00B73FFA">
            <w:pPr>
              <w:pStyle w:val="TableTextStocktake"/>
              <w:jc w:val="center"/>
            </w:pPr>
            <w:r>
              <w:rPr>
                <w:sz w:val="14"/>
                <w:szCs w:val="14"/>
              </w:rPr>
              <w:t>No</w:t>
            </w:r>
          </w:p>
        </w:tc>
      </w:tr>
      <w:tr w:rsidR="00855241" w:rsidRPr="001772B0" w14:paraId="6F074E9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6F0B62" w14:textId="77777777" w:rsidR="00855241" w:rsidRDefault="00855241" w:rsidP="00B73FFA">
            <w:pPr>
              <w:pStyle w:val="TableTextStocktake"/>
            </w:pPr>
            <w:r>
              <w:rPr>
                <w:sz w:val="14"/>
                <w:szCs w:val="14"/>
              </w:rPr>
              <w:t>Benalla (RC)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D146645"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2A463B2"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917C9B"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661116"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AA5D78"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D0B4AF"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B0939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1ABEA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0FF7DD"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A496CE"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3A152F"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4B7654" w14:textId="77777777" w:rsidR="00855241" w:rsidRDefault="00855241" w:rsidP="00B73FFA">
            <w:pPr>
              <w:pStyle w:val="TableTextStocktake"/>
              <w:jc w:val="center"/>
            </w:pPr>
            <w:r>
              <w:rPr>
                <w:sz w:val="14"/>
                <w:szCs w:val="14"/>
              </w:rPr>
              <w:t>Yes</w:t>
            </w:r>
          </w:p>
        </w:tc>
      </w:tr>
      <w:tr w:rsidR="00855241" w:rsidRPr="001772B0" w14:paraId="768A23F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5E6A59" w14:textId="77777777" w:rsidR="00855241" w:rsidRDefault="00855241" w:rsidP="00B73FFA">
            <w:pPr>
              <w:pStyle w:val="TableTextStocktake"/>
            </w:pPr>
            <w:r>
              <w:rPr>
                <w:sz w:val="14"/>
                <w:szCs w:val="14"/>
              </w:rPr>
              <w:t>Boroondara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F227F11"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971ABDC"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DAD3FD"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036C2C"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59B6F7"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CCF98C"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8E4533"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01B17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01C02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3477AD"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DFD8A1"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86557C" w14:textId="77777777" w:rsidR="00855241" w:rsidRDefault="00855241" w:rsidP="00B73FFA">
            <w:pPr>
              <w:pStyle w:val="TableTextStocktake"/>
              <w:jc w:val="center"/>
            </w:pPr>
            <w:r>
              <w:rPr>
                <w:sz w:val="14"/>
                <w:szCs w:val="14"/>
              </w:rPr>
              <w:t>Yes</w:t>
            </w:r>
          </w:p>
        </w:tc>
      </w:tr>
      <w:tr w:rsidR="00855241" w:rsidRPr="001772B0" w14:paraId="0F465D1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9314ED" w14:textId="77777777" w:rsidR="00855241" w:rsidRDefault="00855241" w:rsidP="00B73FFA">
            <w:pPr>
              <w:pStyle w:val="TableTextStocktake"/>
            </w:pPr>
            <w:r>
              <w:rPr>
                <w:sz w:val="14"/>
                <w:szCs w:val="14"/>
              </w:rPr>
              <w:t>Brimbank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1969041"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828E462"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CE441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17F56F"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2F888D"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967245"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AAB43B"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D11C3E"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354414"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8166AA"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4C78D3"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C4142A" w14:textId="77777777" w:rsidR="00855241" w:rsidRDefault="00855241" w:rsidP="00B73FFA">
            <w:pPr>
              <w:pStyle w:val="TableTextStocktake"/>
              <w:jc w:val="center"/>
            </w:pPr>
            <w:r>
              <w:rPr>
                <w:sz w:val="14"/>
                <w:szCs w:val="14"/>
              </w:rPr>
              <w:t>Yes</w:t>
            </w:r>
          </w:p>
        </w:tc>
      </w:tr>
      <w:tr w:rsidR="00855241" w:rsidRPr="001772B0" w14:paraId="571BD7E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6ECA73" w14:textId="77777777" w:rsidR="00855241" w:rsidRDefault="00855241" w:rsidP="00B73FFA">
            <w:pPr>
              <w:pStyle w:val="TableTextStocktake"/>
            </w:pPr>
            <w:r>
              <w:rPr>
                <w:sz w:val="14"/>
                <w:szCs w:val="14"/>
              </w:rPr>
              <w:t>Buloke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A5957FF"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091B0A5"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329011"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CDCC1E"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1C82F9"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D96FC2"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A1557F"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59B1E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0A5FFB"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10E63D"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5DABFF"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9C169A" w14:textId="77777777" w:rsidR="00855241" w:rsidRDefault="00855241" w:rsidP="00B73FFA">
            <w:pPr>
              <w:pStyle w:val="TableTextStocktake"/>
              <w:jc w:val="center"/>
            </w:pPr>
            <w:r>
              <w:rPr>
                <w:sz w:val="14"/>
                <w:szCs w:val="14"/>
              </w:rPr>
              <w:t>Yes</w:t>
            </w:r>
          </w:p>
        </w:tc>
      </w:tr>
      <w:tr w:rsidR="00855241" w:rsidRPr="001772B0" w14:paraId="46DAA80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3791F6" w14:textId="77777777" w:rsidR="00855241" w:rsidRDefault="00855241" w:rsidP="00B73FFA">
            <w:pPr>
              <w:pStyle w:val="TableTextStocktake"/>
            </w:pPr>
            <w:r>
              <w:rPr>
                <w:sz w:val="14"/>
                <w:szCs w:val="14"/>
              </w:rPr>
              <w:t>Campaspe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8E775AB"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299D8C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1EBC03"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1F97E1"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1275F2"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438B4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42C569"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9C23F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1D6865"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3AA91C"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765669"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DDDFAC" w14:textId="77777777" w:rsidR="00855241" w:rsidRDefault="00855241" w:rsidP="00B73FFA">
            <w:pPr>
              <w:pStyle w:val="TableTextStocktake"/>
              <w:jc w:val="center"/>
            </w:pPr>
            <w:r>
              <w:rPr>
                <w:sz w:val="14"/>
                <w:szCs w:val="14"/>
              </w:rPr>
              <w:t>Yes</w:t>
            </w:r>
          </w:p>
        </w:tc>
      </w:tr>
      <w:tr w:rsidR="00855241" w:rsidRPr="001772B0" w14:paraId="68F4A71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6D90AD" w14:textId="77777777" w:rsidR="00855241" w:rsidRDefault="00855241" w:rsidP="00B73FFA">
            <w:pPr>
              <w:pStyle w:val="TableTextStocktake"/>
            </w:pPr>
            <w:r>
              <w:rPr>
                <w:sz w:val="14"/>
                <w:szCs w:val="14"/>
              </w:rPr>
              <w:t>Cardinia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F541F26"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93C00FF"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FF0AC7"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4D73D2"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611F1F"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F3CE6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419BFC"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09DB3B"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2C214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0484A5"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617319"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897906" w14:textId="77777777" w:rsidR="00855241" w:rsidRDefault="00855241" w:rsidP="00B73FFA">
            <w:pPr>
              <w:pStyle w:val="TableTextStocktake"/>
              <w:jc w:val="center"/>
            </w:pPr>
            <w:r>
              <w:rPr>
                <w:sz w:val="14"/>
                <w:szCs w:val="14"/>
              </w:rPr>
              <w:t>Yes</w:t>
            </w:r>
          </w:p>
        </w:tc>
      </w:tr>
      <w:tr w:rsidR="00855241" w:rsidRPr="001772B0" w14:paraId="4114C77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BAAA8C" w14:textId="77777777" w:rsidR="00855241" w:rsidRDefault="00855241" w:rsidP="00B73FFA">
            <w:pPr>
              <w:pStyle w:val="TableTextStocktake"/>
            </w:pPr>
            <w:r>
              <w:rPr>
                <w:sz w:val="14"/>
                <w:szCs w:val="14"/>
              </w:rPr>
              <w:t>Casey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02D6F22"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A0D66FC"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34A04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F659C6"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DEFCC9"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948E99"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2F6CC8"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6D0F65"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F46E42"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36A848"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E27E84"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1C55D0" w14:textId="77777777" w:rsidR="00855241" w:rsidRDefault="00855241" w:rsidP="00B73FFA">
            <w:pPr>
              <w:pStyle w:val="TableTextStocktake"/>
              <w:jc w:val="center"/>
            </w:pPr>
            <w:r>
              <w:rPr>
                <w:sz w:val="14"/>
                <w:szCs w:val="14"/>
              </w:rPr>
              <w:t>Yes</w:t>
            </w:r>
          </w:p>
        </w:tc>
      </w:tr>
      <w:tr w:rsidR="00855241" w:rsidRPr="001772B0" w14:paraId="44A85ED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34A480" w14:textId="77777777" w:rsidR="00855241" w:rsidRDefault="00855241" w:rsidP="00B73FFA">
            <w:pPr>
              <w:pStyle w:val="TableTextStocktake"/>
            </w:pPr>
            <w:r>
              <w:rPr>
                <w:sz w:val="14"/>
                <w:szCs w:val="14"/>
              </w:rPr>
              <w:t>Central Goldfields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F97A9E6"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85DCFDE"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FC6665"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F0F5FF"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1A3884"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F6E39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86D8B3"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341CA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3AF88D"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5DE535"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2EEDA2"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5F2F5A" w14:textId="77777777" w:rsidR="00855241" w:rsidRDefault="00855241" w:rsidP="00B73FFA">
            <w:pPr>
              <w:pStyle w:val="TableTextStocktake"/>
              <w:jc w:val="center"/>
            </w:pPr>
            <w:r>
              <w:rPr>
                <w:sz w:val="14"/>
                <w:szCs w:val="14"/>
              </w:rPr>
              <w:t>Yes</w:t>
            </w:r>
          </w:p>
        </w:tc>
      </w:tr>
      <w:tr w:rsidR="00855241" w:rsidRPr="001772B0" w14:paraId="1C6D6E2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4A70F0" w14:textId="77777777" w:rsidR="00855241" w:rsidRDefault="00855241" w:rsidP="00B73FFA">
            <w:pPr>
              <w:pStyle w:val="TableTextStocktake"/>
            </w:pPr>
            <w:r>
              <w:rPr>
                <w:sz w:val="14"/>
                <w:szCs w:val="14"/>
              </w:rPr>
              <w:t>Colac Otway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4DB6813"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0348648"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1048C8"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C4E53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9A5089"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1084A4"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BD5E91"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E1DC7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D3510B"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D8D2FB"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22EC09"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C5E1A0" w14:textId="77777777" w:rsidR="00855241" w:rsidRDefault="00855241" w:rsidP="00B73FFA">
            <w:pPr>
              <w:pStyle w:val="TableTextStocktake"/>
              <w:jc w:val="center"/>
            </w:pPr>
            <w:r>
              <w:rPr>
                <w:sz w:val="14"/>
                <w:szCs w:val="14"/>
              </w:rPr>
              <w:t>Yes</w:t>
            </w:r>
          </w:p>
        </w:tc>
      </w:tr>
      <w:tr w:rsidR="00855241" w:rsidRPr="001772B0" w14:paraId="0D911EE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26818A" w14:textId="77777777" w:rsidR="00855241" w:rsidRDefault="00855241" w:rsidP="00B73FFA">
            <w:pPr>
              <w:pStyle w:val="TableTextStocktake"/>
            </w:pPr>
            <w:r>
              <w:rPr>
                <w:sz w:val="14"/>
                <w:szCs w:val="14"/>
              </w:rPr>
              <w:lastRenderedPageBreak/>
              <w:t>Corangamite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94462A6"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F895A24"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53D6C5"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63062D"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F0D88C"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B0316D"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64EFC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4F5C3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918949"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4CB785"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2948D9"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DC9D73" w14:textId="77777777" w:rsidR="00855241" w:rsidRDefault="00855241" w:rsidP="00B73FFA">
            <w:pPr>
              <w:pStyle w:val="TableTextStocktake"/>
              <w:jc w:val="center"/>
            </w:pPr>
            <w:r>
              <w:rPr>
                <w:sz w:val="14"/>
                <w:szCs w:val="14"/>
              </w:rPr>
              <w:t>Yes</w:t>
            </w:r>
          </w:p>
        </w:tc>
      </w:tr>
      <w:tr w:rsidR="00855241" w:rsidRPr="001772B0" w14:paraId="43BA1A7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5BE48E" w14:textId="77777777" w:rsidR="00855241" w:rsidRDefault="00855241" w:rsidP="00B73FFA">
            <w:pPr>
              <w:pStyle w:val="TableTextStocktake"/>
            </w:pPr>
            <w:r>
              <w:rPr>
                <w:sz w:val="14"/>
                <w:szCs w:val="14"/>
              </w:rPr>
              <w:t>Darebin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75BE47E"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B598580"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633D2B"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2E60E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48664C"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892610"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85ECFC"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E149B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D637A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225F88"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B7B806"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1BB34A" w14:textId="77777777" w:rsidR="00855241" w:rsidRDefault="00855241" w:rsidP="00B73FFA">
            <w:pPr>
              <w:pStyle w:val="TableTextStocktake"/>
              <w:jc w:val="center"/>
            </w:pPr>
            <w:r>
              <w:rPr>
                <w:sz w:val="14"/>
                <w:szCs w:val="14"/>
              </w:rPr>
              <w:t>Yes</w:t>
            </w:r>
          </w:p>
        </w:tc>
      </w:tr>
      <w:tr w:rsidR="00855241" w:rsidRPr="001772B0" w14:paraId="6D083FB8"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9709DF" w14:textId="77777777" w:rsidR="00855241" w:rsidRDefault="00855241" w:rsidP="00B73FFA">
            <w:pPr>
              <w:pStyle w:val="TableTextStocktake"/>
            </w:pPr>
            <w:r>
              <w:rPr>
                <w:sz w:val="14"/>
                <w:szCs w:val="14"/>
              </w:rPr>
              <w:t>East Gippsland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E628F66"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623F84C"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F956F2"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896BDD"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FBD122"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92C2A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A41FDBE"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B05F0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39824E"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E48B51D"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58FE03"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15A92F" w14:textId="77777777" w:rsidR="00855241" w:rsidRDefault="00855241" w:rsidP="00B73FFA">
            <w:pPr>
              <w:pStyle w:val="TableTextStocktake"/>
              <w:jc w:val="center"/>
            </w:pPr>
            <w:r>
              <w:rPr>
                <w:sz w:val="14"/>
                <w:szCs w:val="14"/>
              </w:rPr>
              <w:t>No</w:t>
            </w:r>
          </w:p>
        </w:tc>
      </w:tr>
      <w:tr w:rsidR="00855241" w:rsidRPr="001772B0" w14:paraId="2558D8B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817944" w14:textId="77777777" w:rsidR="00855241" w:rsidRDefault="00855241" w:rsidP="00B73FFA">
            <w:pPr>
              <w:pStyle w:val="TableTextStocktake"/>
            </w:pPr>
            <w:r>
              <w:rPr>
                <w:sz w:val="14"/>
                <w:szCs w:val="14"/>
              </w:rPr>
              <w:t>Frankston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216169F"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46EA16A"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331634"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E7B9A9"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CA4A1C"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89D31E"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74C931"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57257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45CC54"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BC9AE4"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18EF7A5"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BF2E1D" w14:textId="77777777" w:rsidR="00855241" w:rsidRDefault="00855241" w:rsidP="00B73FFA">
            <w:pPr>
              <w:pStyle w:val="TableTextStocktake"/>
              <w:jc w:val="center"/>
            </w:pPr>
            <w:r>
              <w:rPr>
                <w:sz w:val="14"/>
                <w:szCs w:val="14"/>
              </w:rPr>
              <w:t>Yes</w:t>
            </w:r>
          </w:p>
        </w:tc>
      </w:tr>
      <w:tr w:rsidR="00855241" w:rsidRPr="001772B0" w14:paraId="52E5404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7EB793" w14:textId="77777777" w:rsidR="00855241" w:rsidRDefault="00855241" w:rsidP="00B73FFA">
            <w:pPr>
              <w:pStyle w:val="TableTextStocktake"/>
            </w:pPr>
            <w:r>
              <w:rPr>
                <w:sz w:val="14"/>
                <w:szCs w:val="14"/>
              </w:rPr>
              <w:t>Gannawarra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4556D1B"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C474B18"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18D0F4"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14F66E"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3ED957"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24B05B"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8E4D0D"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2EDC3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C21001"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ECC5C9"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6C9E8A"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0AEAFA" w14:textId="77777777" w:rsidR="00855241" w:rsidRDefault="00855241" w:rsidP="00B73FFA">
            <w:pPr>
              <w:pStyle w:val="TableTextStocktake"/>
              <w:jc w:val="center"/>
            </w:pPr>
            <w:r>
              <w:rPr>
                <w:sz w:val="14"/>
                <w:szCs w:val="14"/>
              </w:rPr>
              <w:t>Yes</w:t>
            </w:r>
          </w:p>
        </w:tc>
      </w:tr>
      <w:tr w:rsidR="00855241" w:rsidRPr="001772B0" w14:paraId="1802A57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E0AEC0" w14:textId="77777777" w:rsidR="00855241" w:rsidRDefault="00855241" w:rsidP="00B73FFA">
            <w:pPr>
              <w:pStyle w:val="TableTextStocktake"/>
            </w:pPr>
            <w:r>
              <w:rPr>
                <w:sz w:val="14"/>
                <w:szCs w:val="14"/>
              </w:rPr>
              <w:t>Glen Eira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99CE15B"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27E1F3A"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80AC44"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5D8F63"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529BE9"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341667"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4C68AD"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58870C"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4194CD"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F6543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09905B"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F3CCC0" w14:textId="77777777" w:rsidR="00855241" w:rsidRDefault="00855241" w:rsidP="00B73FFA">
            <w:pPr>
              <w:pStyle w:val="TableTextStocktake"/>
              <w:jc w:val="center"/>
            </w:pPr>
            <w:r>
              <w:rPr>
                <w:sz w:val="14"/>
                <w:szCs w:val="14"/>
              </w:rPr>
              <w:t>Yes</w:t>
            </w:r>
          </w:p>
        </w:tc>
      </w:tr>
      <w:tr w:rsidR="00855241" w:rsidRPr="001772B0" w14:paraId="5560AB2E"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9367AE" w14:textId="77777777" w:rsidR="00855241" w:rsidRDefault="00855241" w:rsidP="00B73FFA">
            <w:pPr>
              <w:pStyle w:val="TableTextStocktake"/>
            </w:pPr>
            <w:r>
              <w:rPr>
                <w:sz w:val="14"/>
                <w:szCs w:val="14"/>
              </w:rPr>
              <w:t>Glenelg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9FD4BB1"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54D71BB"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110820"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716A67"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0B9C6E"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57CE57B"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7C5808"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49F52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4EFFF5"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BE4095"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C0613B"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5EEAC0" w14:textId="77777777" w:rsidR="00855241" w:rsidRDefault="00855241" w:rsidP="00B73FFA">
            <w:pPr>
              <w:pStyle w:val="TableTextStocktake"/>
              <w:jc w:val="center"/>
            </w:pPr>
            <w:r>
              <w:rPr>
                <w:sz w:val="14"/>
                <w:szCs w:val="14"/>
              </w:rPr>
              <w:t>Yes</w:t>
            </w:r>
          </w:p>
        </w:tc>
      </w:tr>
      <w:tr w:rsidR="00855241" w:rsidRPr="001772B0" w14:paraId="401834F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93DF0C" w14:textId="77777777" w:rsidR="00855241" w:rsidRDefault="00855241" w:rsidP="00B73FFA">
            <w:pPr>
              <w:pStyle w:val="TableTextStocktake"/>
            </w:pPr>
            <w:r>
              <w:rPr>
                <w:sz w:val="14"/>
                <w:szCs w:val="14"/>
              </w:rPr>
              <w:t>Golden Plains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BE0B94E"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731DF8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59BB27"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6D90F9"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5F7713"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67ECD8"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F5E540"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68865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F78DE1"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0AC063"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837306"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E09DF3" w14:textId="77777777" w:rsidR="00855241" w:rsidRDefault="00855241" w:rsidP="00B73FFA">
            <w:pPr>
              <w:pStyle w:val="TableTextStocktake"/>
              <w:jc w:val="center"/>
            </w:pPr>
            <w:r>
              <w:rPr>
                <w:sz w:val="14"/>
                <w:szCs w:val="14"/>
              </w:rPr>
              <w:t>Yes</w:t>
            </w:r>
          </w:p>
        </w:tc>
      </w:tr>
      <w:tr w:rsidR="00855241" w:rsidRPr="001772B0" w14:paraId="75DB6DE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B5B336" w14:textId="77777777" w:rsidR="00855241" w:rsidRDefault="00855241" w:rsidP="00B73FFA">
            <w:pPr>
              <w:pStyle w:val="TableTextStocktake"/>
            </w:pPr>
            <w:r>
              <w:rPr>
                <w:sz w:val="14"/>
                <w:szCs w:val="14"/>
              </w:rPr>
              <w:t>Greater Bendigo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4A90EA4"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4A34BF8"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A6513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87A3CB"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A38EA4"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A4190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5FCC4C"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2D5B66"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181F16"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6D7052"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7AF831"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905A0D" w14:textId="77777777" w:rsidR="00855241" w:rsidRDefault="00855241" w:rsidP="00B73FFA">
            <w:pPr>
              <w:pStyle w:val="TableTextStocktake"/>
              <w:jc w:val="center"/>
            </w:pPr>
            <w:r>
              <w:rPr>
                <w:sz w:val="14"/>
                <w:szCs w:val="14"/>
              </w:rPr>
              <w:t>Yes</w:t>
            </w:r>
          </w:p>
        </w:tc>
      </w:tr>
      <w:tr w:rsidR="00855241" w:rsidRPr="001772B0" w14:paraId="0B90036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1508B1" w14:textId="77777777" w:rsidR="00855241" w:rsidRDefault="00855241" w:rsidP="00B73FFA">
            <w:pPr>
              <w:pStyle w:val="TableTextStocktake"/>
            </w:pPr>
            <w:r>
              <w:rPr>
                <w:sz w:val="14"/>
                <w:szCs w:val="14"/>
              </w:rPr>
              <w:t>Greater Dandenong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7FB6836"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2D9A779"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FAAE38"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FA44FA"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351239"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08F8AA"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385112"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8B0C0A"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598FB5"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EAF5CE"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E4E4FC"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3168D9" w14:textId="77777777" w:rsidR="00855241" w:rsidRDefault="00855241" w:rsidP="00B73FFA">
            <w:pPr>
              <w:pStyle w:val="TableTextStocktake"/>
              <w:jc w:val="center"/>
            </w:pPr>
            <w:r>
              <w:rPr>
                <w:sz w:val="14"/>
                <w:szCs w:val="14"/>
              </w:rPr>
              <w:t>No</w:t>
            </w:r>
          </w:p>
        </w:tc>
      </w:tr>
      <w:tr w:rsidR="00855241" w:rsidRPr="001772B0" w14:paraId="6A977E8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DE8312" w14:textId="77777777" w:rsidR="00855241" w:rsidRDefault="00855241" w:rsidP="00B73FFA">
            <w:pPr>
              <w:pStyle w:val="TableTextStocktake"/>
            </w:pPr>
            <w:r>
              <w:rPr>
                <w:sz w:val="14"/>
                <w:szCs w:val="14"/>
              </w:rPr>
              <w:t>Greater Geelong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957136C"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C90CD76"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26D653"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F8F94F"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81064C"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DB46BD"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356BD2"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7622B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1FA97E"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B611C6"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D4D250"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952ACA" w14:textId="77777777" w:rsidR="00855241" w:rsidRDefault="00855241" w:rsidP="00B73FFA">
            <w:pPr>
              <w:pStyle w:val="TableTextStocktake"/>
              <w:jc w:val="center"/>
            </w:pPr>
            <w:r>
              <w:rPr>
                <w:sz w:val="14"/>
                <w:szCs w:val="14"/>
              </w:rPr>
              <w:t>Yes</w:t>
            </w:r>
          </w:p>
        </w:tc>
      </w:tr>
      <w:tr w:rsidR="00855241" w:rsidRPr="001772B0" w14:paraId="4380D30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DD86F6" w14:textId="77777777" w:rsidR="00855241" w:rsidRDefault="00855241" w:rsidP="00B73FFA">
            <w:pPr>
              <w:pStyle w:val="TableTextStocktake"/>
            </w:pPr>
            <w:r>
              <w:rPr>
                <w:sz w:val="14"/>
                <w:szCs w:val="14"/>
              </w:rPr>
              <w:t>Greater Shepparton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D8F729E"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32CFCC6"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EA2EEA"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16B1EE"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B4D905"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F65B53"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1A5612"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64BEF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FFD091"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F130A8"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E458AD"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2AAECE" w14:textId="77777777" w:rsidR="00855241" w:rsidRDefault="00855241" w:rsidP="00B73FFA">
            <w:pPr>
              <w:pStyle w:val="TableTextStocktake"/>
              <w:jc w:val="center"/>
            </w:pPr>
            <w:r>
              <w:rPr>
                <w:sz w:val="14"/>
                <w:szCs w:val="14"/>
              </w:rPr>
              <w:t>Yes</w:t>
            </w:r>
          </w:p>
        </w:tc>
      </w:tr>
      <w:tr w:rsidR="00855241" w:rsidRPr="001772B0" w14:paraId="52C16B3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2C843E" w14:textId="77777777" w:rsidR="00855241" w:rsidRDefault="00855241" w:rsidP="00B73FFA">
            <w:pPr>
              <w:pStyle w:val="TableTextStocktake"/>
            </w:pPr>
            <w:r>
              <w:rPr>
                <w:sz w:val="14"/>
                <w:szCs w:val="14"/>
              </w:rPr>
              <w:t>Hepburn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6DA0A0E"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75C07228"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E855C6"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2F86D6"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54ADF5"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A2979F"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9FA64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BA9A6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C24CA4"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0306A6"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22C454"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D2A2EE" w14:textId="77777777" w:rsidR="00855241" w:rsidRDefault="00855241" w:rsidP="00B73FFA">
            <w:pPr>
              <w:pStyle w:val="TableTextStocktake"/>
              <w:jc w:val="center"/>
            </w:pPr>
            <w:r>
              <w:rPr>
                <w:sz w:val="14"/>
                <w:szCs w:val="14"/>
              </w:rPr>
              <w:t>No</w:t>
            </w:r>
          </w:p>
        </w:tc>
      </w:tr>
      <w:tr w:rsidR="00855241" w:rsidRPr="001772B0" w14:paraId="09A12EC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39EB66" w14:textId="77777777" w:rsidR="00855241" w:rsidRDefault="00855241" w:rsidP="00B73FFA">
            <w:pPr>
              <w:pStyle w:val="TableTextStocktake"/>
            </w:pPr>
            <w:r>
              <w:rPr>
                <w:sz w:val="14"/>
                <w:szCs w:val="14"/>
              </w:rPr>
              <w:t>Hindmarsh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6089587"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25D1DFC"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53FA08"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ABC233"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45E854"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EEDB7F"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677014"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437A0B"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ADDC7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EFFE0C"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F2085F"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380193" w14:textId="77777777" w:rsidR="00855241" w:rsidRDefault="00855241" w:rsidP="00B73FFA">
            <w:pPr>
              <w:pStyle w:val="TableTextStocktake"/>
              <w:jc w:val="center"/>
            </w:pPr>
            <w:r>
              <w:rPr>
                <w:sz w:val="14"/>
                <w:szCs w:val="14"/>
              </w:rPr>
              <w:t>No</w:t>
            </w:r>
          </w:p>
        </w:tc>
      </w:tr>
      <w:tr w:rsidR="00855241" w:rsidRPr="001772B0" w14:paraId="360F0A2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8D7CD7" w14:textId="77777777" w:rsidR="00855241" w:rsidRDefault="00855241" w:rsidP="00B73FFA">
            <w:pPr>
              <w:pStyle w:val="TableTextStocktake"/>
            </w:pPr>
            <w:r>
              <w:rPr>
                <w:sz w:val="14"/>
                <w:szCs w:val="14"/>
              </w:rPr>
              <w:t>Hobsons Bay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9FAFC13"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CA5590B"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55C34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3245AC"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A7DC7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C24469"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C72EF0"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6068E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A55D35"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F57454"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7C6539"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442A14" w14:textId="77777777" w:rsidR="00855241" w:rsidRDefault="00855241" w:rsidP="00B73FFA">
            <w:pPr>
              <w:pStyle w:val="TableTextStocktake"/>
              <w:jc w:val="center"/>
            </w:pPr>
            <w:r>
              <w:rPr>
                <w:sz w:val="14"/>
                <w:szCs w:val="14"/>
              </w:rPr>
              <w:t>Yes</w:t>
            </w:r>
          </w:p>
        </w:tc>
      </w:tr>
      <w:tr w:rsidR="00855241" w:rsidRPr="001772B0" w14:paraId="42DA565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A0609B4" w14:textId="77777777" w:rsidR="00855241" w:rsidRDefault="00855241" w:rsidP="00B73FFA">
            <w:pPr>
              <w:pStyle w:val="TableTextStocktake"/>
            </w:pPr>
            <w:r>
              <w:rPr>
                <w:sz w:val="14"/>
                <w:szCs w:val="14"/>
              </w:rPr>
              <w:t>Horsham (RC)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4AF48C8"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3880D60"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760B37"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993A09"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544B41"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D7CA3E"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7666E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5625C6"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AF3FAD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E9EE40"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6614A5"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32E079" w14:textId="77777777" w:rsidR="00855241" w:rsidRDefault="00855241" w:rsidP="00B73FFA">
            <w:pPr>
              <w:pStyle w:val="TableTextStocktake"/>
              <w:jc w:val="center"/>
            </w:pPr>
            <w:r>
              <w:rPr>
                <w:sz w:val="14"/>
                <w:szCs w:val="14"/>
              </w:rPr>
              <w:t>Yes</w:t>
            </w:r>
          </w:p>
        </w:tc>
      </w:tr>
      <w:tr w:rsidR="00855241" w:rsidRPr="001772B0" w14:paraId="3D2C24F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2E9C39" w14:textId="77777777" w:rsidR="00855241" w:rsidRDefault="00855241" w:rsidP="00B73FFA">
            <w:pPr>
              <w:pStyle w:val="TableTextStocktake"/>
            </w:pPr>
            <w:r>
              <w:rPr>
                <w:sz w:val="14"/>
                <w:szCs w:val="14"/>
              </w:rPr>
              <w:t>Hume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02C0A08"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48987C9"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2AEA4F"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6BACB2"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CCF3E4"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B559C0"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41187A"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54F89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D1341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C70BAC"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17B8B9"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1678FC" w14:textId="77777777" w:rsidR="00855241" w:rsidRDefault="00855241" w:rsidP="00B73FFA">
            <w:pPr>
              <w:pStyle w:val="TableTextStocktake"/>
              <w:jc w:val="center"/>
            </w:pPr>
            <w:r>
              <w:rPr>
                <w:sz w:val="14"/>
                <w:szCs w:val="14"/>
              </w:rPr>
              <w:t>No</w:t>
            </w:r>
          </w:p>
        </w:tc>
      </w:tr>
      <w:tr w:rsidR="00855241" w:rsidRPr="001772B0" w14:paraId="4470584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9364F5" w14:textId="77777777" w:rsidR="00855241" w:rsidRDefault="00855241" w:rsidP="00B73FFA">
            <w:pPr>
              <w:pStyle w:val="TableTextStocktake"/>
            </w:pPr>
            <w:r>
              <w:rPr>
                <w:sz w:val="14"/>
                <w:szCs w:val="14"/>
              </w:rPr>
              <w:t>Indigo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E94F88C"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4100220"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2E7BC9"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4FB904"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79B6FA"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6D7DA5"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7A0133"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8CEEB3"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AE1587"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7CC757"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F832A3"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BB95D7" w14:textId="77777777" w:rsidR="00855241" w:rsidRDefault="00855241" w:rsidP="00B73FFA">
            <w:pPr>
              <w:pStyle w:val="TableTextStocktake"/>
              <w:jc w:val="center"/>
            </w:pPr>
            <w:r>
              <w:rPr>
                <w:sz w:val="14"/>
                <w:szCs w:val="14"/>
              </w:rPr>
              <w:t>No</w:t>
            </w:r>
          </w:p>
        </w:tc>
      </w:tr>
      <w:tr w:rsidR="00855241" w:rsidRPr="001772B0" w14:paraId="5884C9F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F6BF42" w14:textId="77777777" w:rsidR="00855241" w:rsidRDefault="00855241" w:rsidP="00B73FFA">
            <w:pPr>
              <w:pStyle w:val="TableTextStocktake"/>
            </w:pPr>
            <w:r>
              <w:rPr>
                <w:sz w:val="14"/>
                <w:szCs w:val="14"/>
              </w:rPr>
              <w:t>Kingston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914144E"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25BB933"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DC8A3C"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AFD5D3"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AAC8B6"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E2A56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F0AF4C"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81BDA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551DE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694B9D"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8682F4"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5A97F8" w14:textId="77777777" w:rsidR="00855241" w:rsidRDefault="00855241" w:rsidP="00B73FFA">
            <w:pPr>
              <w:pStyle w:val="TableTextStocktake"/>
              <w:jc w:val="center"/>
            </w:pPr>
            <w:r>
              <w:rPr>
                <w:sz w:val="14"/>
                <w:szCs w:val="14"/>
              </w:rPr>
              <w:t>No</w:t>
            </w:r>
          </w:p>
        </w:tc>
      </w:tr>
      <w:tr w:rsidR="00855241" w:rsidRPr="001772B0" w14:paraId="4424ECC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446CB4" w14:textId="77777777" w:rsidR="00855241" w:rsidRDefault="00855241" w:rsidP="00B73FFA">
            <w:pPr>
              <w:pStyle w:val="TableTextStocktake"/>
            </w:pPr>
            <w:r>
              <w:rPr>
                <w:sz w:val="14"/>
                <w:szCs w:val="14"/>
              </w:rPr>
              <w:t>Knox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10B3824"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6759592"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F7C95F"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F5185A"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B4228A"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9DECE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A968C52"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92124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D454F5"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CC1E10"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AA043C"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714304" w14:textId="77777777" w:rsidR="00855241" w:rsidRDefault="00855241" w:rsidP="00B73FFA">
            <w:pPr>
              <w:pStyle w:val="TableTextStocktake"/>
              <w:jc w:val="center"/>
            </w:pPr>
            <w:r>
              <w:rPr>
                <w:sz w:val="14"/>
                <w:szCs w:val="14"/>
              </w:rPr>
              <w:t>No</w:t>
            </w:r>
          </w:p>
        </w:tc>
      </w:tr>
      <w:tr w:rsidR="00855241" w:rsidRPr="001772B0" w14:paraId="79A6F9B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9BB580" w14:textId="77777777" w:rsidR="00855241" w:rsidRDefault="00855241" w:rsidP="00B73FFA">
            <w:pPr>
              <w:pStyle w:val="TableTextStocktake"/>
            </w:pPr>
            <w:r>
              <w:rPr>
                <w:sz w:val="14"/>
                <w:szCs w:val="14"/>
              </w:rPr>
              <w:t>Latrobe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B8EE657"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4274E3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F0F0DE"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5560C6"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6E439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244336"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334768"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4743F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080745"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0BAB20"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B0A1ED"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40B686" w14:textId="77777777" w:rsidR="00855241" w:rsidRDefault="00855241" w:rsidP="00B73FFA">
            <w:pPr>
              <w:pStyle w:val="TableTextStocktake"/>
              <w:jc w:val="center"/>
            </w:pPr>
            <w:r>
              <w:rPr>
                <w:sz w:val="14"/>
                <w:szCs w:val="14"/>
              </w:rPr>
              <w:t>Yes</w:t>
            </w:r>
          </w:p>
        </w:tc>
      </w:tr>
      <w:tr w:rsidR="00855241" w:rsidRPr="001772B0" w14:paraId="6EEF413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C69C74" w14:textId="77777777" w:rsidR="00855241" w:rsidRDefault="00855241" w:rsidP="00B73FFA">
            <w:pPr>
              <w:pStyle w:val="TableTextStocktake"/>
            </w:pPr>
            <w:r>
              <w:rPr>
                <w:sz w:val="14"/>
                <w:szCs w:val="14"/>
              </w:rPr>
              <w:t>Loddon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F6CBFD1"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A079F2D"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724AB3"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A8AE8F"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A3D959D"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A1970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2ADBA6"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396AC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C2880B"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EA04E8"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6CB1C3D"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070FA1" w14:textId="77777777" w:rsidR="00855241" w:rsidRDefault="00855241" w:rsidP="00B73FFA">
            <w:pPr>
              <w:pStyle w:val="TableTextStocktake"/>
              <w:jc w:val="center"/>
            </w:pPr>
            <w:r>
              <w:rPr>
                <w:sz w:val="14"/>
                <w:szCs w:val="14"/>
              </w:rPr>
              <w:t>No</w:t>
            </w:r>
          </w:p>
        </w:tc>
      </w:tr>
      <w:tr w:rsidR="00855241" w:rsidRPr="001772B0" w14:paraId="0FA18D5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BA4ED5C" w14:textId="77777777" w:rsidR="00855241" w:rsidRDefault="00855241" w:rsidP="00B73FFA">
            <w:pPr>
              <w:pStyle w:val="TableTextStocktake"/>
            </w:pPr>
            <w:r>
              <w:rPr>
                <w:sz w:val="14"/>
                <w:szCs w:val="14"/>
              </w:rPr>
              <w:t>Macedon Ranges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132C64D"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3EE56C3"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8321B2"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B0A5F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DC020C"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474FDE"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CFB26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FB8FC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C6A865"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36F6E4"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AA7E9E"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C83B8F" w14:textId="77777777" w:rsidR="00855241" w:rsidRDefault="00855241" w:rsidP="00B73FFA">
            <w:pPr>
              <w:pStyle w:val="TableTextStocktake"/>
              <w:jc w:val="center"/>
            </w:pPr>
            <w:r>
              <w:rPr>
                <w:sz w:val="14"/>
                <w:szCs w:val="14"/>
              </w:rPr>
              <w:t>No</w:t>
            </w:r>
          </w:p>
        </w:tc>
      </w:tr>
      <w:tr w:rsidR="00855241" w:rsidRPr="001772B0" w14:paraId="732A2B6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B89C92" w14:textId="77777777" w:rsidR="00855241" w:rsidRDefault="00855241" w:rsidP="00B73FFA">
            <w:pPr>
              <w:pStyle w:val="TableTextStocktake"/>
            </w:pPr>
            <w:r>
              <w:rPr>
                <w:sz w:val="14"/>
                <w:szCs w:val="14"/>
              </w:rPr>
              <w:t>Manningham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C5B75F1"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7BC85D6A"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B4948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B3FEE7"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46AC4D"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4CCB49"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1F63AC"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3F812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4A517E"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251B94"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9FB736"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44602A" w14:textId="77777777" w:rsidR="00855241" w:rsidRDefault="00855241" w:rsidP="00B73FFA">
            <w:pPr>
              <w:pStyle w:val="TableTextStocktake"/>
              <w:jc w:val="center"/>
            </w:pPr>
            <w:r>
              <w:rPr>
                <w:sz w:val="14"/>
                <w:szCs w:val="14"/>
              </w:rPr>
              <w:t>Yes</w:t>
            </w:r>
          </w:p>
        </w:tc>
      </w:tr>
      <w:tr w:rsidR="00855241" w:rsidRPr="001772B0" w14:paraId="0D9AFFF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CF3FD2" w14:textId="77777777" w:rsidR="00855241" w:rsidRDefault="00855241" w:rsidP="00B73FFA">
            <w:pPr>
              <w:pStyle w:val="TableTextStocktake"/>
            </w:pPr>
            <w:r>
              <w:rPr>
                <w:sz w:val="14"/>
                <w:szCs w:val="14"/>
              </w:rPr>
              <w:t>Mansfield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0D02073"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B79A85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3C76F6"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AC954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E7C3C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44F3E6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18DDD6"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03495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2145FB"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866A93"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B372AD"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43442A" w14:textId="77777777" w:rsidR="00855241" w:rsidRDefault="00855241" w:rsidP="00B73FFA">
            <w:pPr>
              <w:pStyle w:val="TableTextStocktake"/>
              <w:jc w:val="center"/>
            </w:pPr>
            <w:r>
              <w:rPr>
                <w:sz w:val="14"/>
                <w:szCs w:val="14"/>
              </w:rPr>
              <w:t>No</w:t>
            </w:r>
          </w:p>
        </w:tc>
      </w:tr>
      <w:tr w:rsidR="00855241" w:rsidRPr="001772B0" w14:paraId="5BC01AD8"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5B42C9" w14:textId="77777777" w:rsidR="00855241" w:rsidRDefault="00855241" w:rsidP="00B73FFA">
            <w:pPr>
              <w:pStyle w:val="TableTextStocktake"/>
            </w:pPr>
            <w:r>
              <w:rPr>
                <w:sz w:val="14"/>
                <w:szCs w:val="14"/>
              </w:rPr>
              <w:t>Maribyrnong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E1DE37F"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BAD6E1B"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65DC07"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B6A054"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31A1AA"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13C6D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C0A012"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C9843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E21C3A"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61CCA3"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F474E2"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3502FB" w14:textId="77777777" w:rsidR="00855241" w:rsidRDefault="00855241" w:rsidP="00B73FFA">
            <w:pPr>
              <w:pStyle w:val="TableTextStocktake"/>
              <w:jc w:val="center"/>
            </w:pPr>
            <w:r>
              <w:rPr>
                <w:sz w:val="14"/>
                <w:szCs w:val="14"/>
              </w:rPr>
              <w:t>Yes</w:t>
            </w:r>
          </w:p>
        </w:tc>
      </w:tr>
      <w:tr w:rsidR="00855241" w:rsidRPr="001772B0" w14:paraId="45D5B50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D2AB21" w14:textId="77777777" w:rsidR="00855241" w:rsidRDefault="00855241" w:rsidP="00B73FFA">
            <w:pPr>
              <w:pStyle w:val="TableTextStocktake"/>
            </w:pPr>
            <w:r>
              <w:rPr>
                <w:sz w:val="14"/>
                <w:szCs w:val="14"/>
              </w:rPr>
              <w:t>Maroondah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3FC08F2"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6F024C6"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BF9951"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69AD05"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1F3E35"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A2433B"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FA2652"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9CE33F"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C697FF"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C1B64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7A94D0"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ABD34A" w14:textId="77777777" w:rsidR="00855241" w:rsidRDefault="00855241" w:rsidP="00B73FFA">
            <w:pPr>
              <w:pStyle w:val="TableTextStocktake"/>
              <w:jc w:val="center"/>
            </w:pPr>
            <w:r>
              <w:rPr>
                <w:sz w:val="14"/>
                <w:szCs w:val="14"/>
              </w:rPr>
              <w:t>Yes</w:t>
            </w:r>
          </w:p>
        </w:tc>
      </w:tr>
      <w:tr w:rsidR="00855241" w:rsidRPr="001772B0" w14:paraId="75451EE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8E5350" w14:textId="77777777" w:rsidR="00855241" w:rsidRDefault="00855241" w:rsidP="00B73FFA">
            <w:pPr>
              <w:pStyle w:val="TableTextStocktake"/>
            </w:pPr>
            <w:r>
              <w:rPr>
                <w:sz w:val="14"/>
                <w:szCs w:val="14"/>
              </w:rPr>
              <w:t>Melbourne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91EFD61"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4EB397E"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098D02"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7377B2"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C3A5B4"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B8D384"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9742B8"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E78FE4"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88123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2EBF03"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62AE6E"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CA91B9" w14:textId="77777777" w:rsidR="00855241" w:rsidRDefault="00855241" w:rsidP="00B73FFA">
            <w:pPr>
              <w:pStyle w:val="TableTextStocktake"/>
              <w:jc w:val="center"/>
            </w:pPr>
            <w:r>
              <w:rPr>
                <w:sz w:val="14"/>
                <w:szCs w:val="14"/>
              </w:rPr>
              <w:t>No</w:t>
            </w:r>
          </w:p>
        </w:tc>
      </w:tr>
      <w:tr w:rsidR="00855241" w:rsidRPr="001772B0" w14:paraId="731E611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C05731" w14:textId="77777777" w:rsidR="00855241" w:rsidRDefault="00855241" w:rsidP="00B73FFA">
            <w:pPr>
              <w:pStyle w:val="TableTextStocktake"/>
            </w:pPr>
            <w:r>
              <w:rPr>
                <w:sz w:val="14"/>
                <w:szCs w:val="14"/>
              </w:rPr>
              <w:t>Melton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8DDDEA0"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2B26249"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717344"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5FF55C"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54956D"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F5499E"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161620"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5BC0C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FECB7C"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D13B4D"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DCB824"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90F547" w14:textId="77777777" w:rsidR="00855241" w:rsidRDefault="00855241" w:rsidP="00B73FFA">
            <w:pPr>
              <w:pStyle w:val="TableTextStocktake"/>
              <w:jc w:val="center"/>
            </w:pPr>
            <w:r>
              <w:rPr>
                <w:sz w:val="14"/>
                <w:szCs w:val="14"/>
              </w:rPr>
              <w:t>Yes</w:t>
            </w:r>
          </w:p>
        </w:tc>
      </w:tr>
      <w:tr w:rsidR="00855241" w:rsidRPr="001772B0" w14:paraId="16F7824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80517A" w14:textId="77777777" w:rsidR="00855241" w:rsidRDefault="00855241" w:rsidP="00B73FFA">
            <w:pPr>
              <w:pStyle w:val="TableTextStocktake"/>
            </w:pPr>
            <w:r>
              <w:rPr>
                <w:sz w:val="14"/>
                <w:szCs w:val="14"/>
              </w:rPr>
              <w:t>Mildura (RC)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8C29B26"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CC6D4F3"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E44772"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9599BD"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37996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05595A"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41CB32"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1CF1D6"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76932F"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BF93E4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D6F939"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23A17F" w14:textId="77777777" w:rsidR="00855241" w:rsidRDefault="00855241" w:rsidP="00B73FFA">
            <w:pPr>
              <w:pStyle w:val="TableTextStocktake"/>
              <w:jc w:val="center"/>
            </w:pPr>
            <w:r>
              <w:rPr>
                <w:sz w:val="14"/>
                <w:szCs w:val="14"/>
              </w:rPr>
              <w:t>Yes</w:t>
            </w:r>
          </w:p>
        </w:tc>
      </w:tr>
      <w:tr w:rsidR="00855241" w:rsidRPr="001772B0" w14:paraId="5CDECEB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4D5195" w14:textId="77777777" w:rsidR="00855241" w:rsidRDefault="00855241" w:rsidP="00B73FFA">
            <w:pPr>
              <w:pStyle w:val="TableTextStocktake"/>
            </w:pPr>
            <w:r>
              <w:rPr>
                <w:sz w:val="14"/>
                <w:szCs w:val="14"/>
              </w:rPr>
              <w:t>Mitchell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13F83AB"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CAAF5FD"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ABAD98"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2F9363"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35F768"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6144B2"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953A6E"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EF58A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294F45"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D2D7EB"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B221A6"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C19786" w14:textId="77777777" w:rsidR="00855241" w:rsidRDefault="00855241" w:rsidP="00B73FFA">
            <w:pPr>
              <w:pStyle w:val="TableTextStocktake"/>
              <w:jc w:val="center"/>
            </w:pPr>
            <w:r>
              <w:rPr>
                <w:sz w:val="14"/>
                <w:szCs w:val="14"/>
              </w:rPr>
              <w:t>No</w:t>
            </w:r>
          </w:p>
        </w:tc>
      </w:tr>
      <w:tr w:rsidR="00855241" w:rsidRPr="001772B0" w14:paraId="2B09A42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AC1C10" w14:textId="77777777" w:rsidR="00855241" w:rsidRDefault="00855241" w:rsidP="00B73FFA">
            <w:pPr>
              <w:pStyle w:val="TableTextStocktake"/>
            </w:pPr>
            <w:r>
              <w:rPr>
                <w:sz w:val="14"/>
                <w:szCs w:val="14"/>
              </w:rPr>
              <w:t>Moira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7BD81C1"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C27B130"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C563B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9039AE"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0190E5"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205C04"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76A91F"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42CF6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1C45CE"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AEC9C0"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7EA363"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4F0899" w14:textId="77777777" w:rsidR="00855241" w:rsidRDefault="00855241" w:rsidP="00B73FFA">
            <w:pPr>
              <w:pStyle w:val="TableTextStocktake"/>
              <w:jc w:val="center"/>
            </w:pPr>
            <w:r>
              <w:rPr>
                <w:sz w:val="14"/>
                <w:szCs w:val="14"/>
              </w:rPr>
              <w:t>Yes</w:t>
            </w:r>
          </w:p>
        </w:tc>
      </w:tr>
      <w:tr w:rsidR="00855241" w:rsidRPr="001772B0" w14:paraId="18DF59F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EC674F" w14:textId="77777777" w:rsidR="00855241" w:rsidRDefault="00855241" w:rsidP="00B73FFA">
            <w:pPr>
              <w:pStyle w:val="TableTextStocktake"/>
            </w:pPr>
            <w:r>
              <w:rPr>
                <w:sz w:val="14"/>
                <w:szCs w:val="14"/>
              </w:rPr>
              <w:t>Monash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743F913"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75B70A4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12C886"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A3781A"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43327E"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F4FCB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8EE1DF"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7C2478"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8FDE31"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4BEC65"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B8BC6D"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21845A" w14:textId="77777777" w:rsidR="00855241" w:rsidRDefault="00855241" w:rsidP="00B73FFA">
            <w:pPr>
              <w:pStyle w:val="TableTextStocktake"/>
              <w:jc w:val="center"/>
            </w:pPr>
            <w:r>
              <w:rPr>
                <w:sz w:val="14"/>
                <w:szCs w:val="14"/>
              </w:rPr>
              <w:t>No</w:t>
            </w:r>
          </w:p>
        </w:tc>
      </w:tr>
      <w:tr w:rsidR="00855241" w:rsidRPr="001772B0" w14:paraId="2BA58A3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8B60CD" w14:textId="77777777" w:rsidR="00855241" w:rsidRDefault="00855241" w:rsidP="00B73FFA">
            <w:pPr>
              <w:pStyle w:val="TableTextStocktake"/>
            </w:pPr>
            <w:r>
              <w:rPr>
                <w:sz w:val="14"/>
                <w:szCs w:val="14"/>
              </w:rPr>
              <w:t>Moonee Valley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D0D6CEB"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718420C"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AA9590"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386891"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103F71"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5EB7CD"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BE2717"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EE5B3F"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2F5B14"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C5C3EA"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F9C3F2"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DEEFE2" w14:textId="77777777" w:rsidR="00855241" w:rsidRDefault="00855241" w:rsidP="00B73FFA">
            <w:pPr>
              <w:pStyle w:val="TableTextStocktake"/>
              <w:jc w:val="center"/>
            </w:pPr>
            <w:r>
              <w:rPr>
                <w:sz w:val="14"/>
                <w:szCs w:val="14"/>
              </w:rPr>
              <w:t>Yes</w:t>
            </w:r>
          </w:p>
        </w:tc>
      </w:tr>
      <w:tr w:rsidR="00855241" w:rsidRPr="001772B0" w14:paraId="7C431C0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B35285" w14:textId="77777777" w:rsidR="00855241" w:rsidRDefault="00855241" w:rsidP="00B73FFA">
            <w:pPr>
              <w:pStyle w:val="TableTextStocktake"/>
            </w:pPr>
            <w:r>
              <w:rPr>
                <w:sz w:val="14"/>
                <w:szCs w:val="14"/>
              </w:rPr>
              <w:t>Moorabool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2716E30"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49D1848"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B94AC4"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75F50E"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46E83C"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4830F2"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8A8404"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F7479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8290A0"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F30E03"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6D524B"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FAF2D7" w14:textId="77777777" w:rsidR="00855241" w:rsidRDefault="00855241" w:rsidP="00B73FFA">
            <w:pPr>
              <w:pStyle w:val="TableTextStocktake"/>
              <w:jc w:val="center"/>
            </w:pPr>
            <w:r>
              <w:rPr>
                <w:sz w:val="14"/>
                <w:szCs w:val="14"/>
              </w:rPr>
              <w:t>Yes</w:t>
            </w:r>
          </w:p>
        </w:tc>
      </w:tr>
      <w:tr w:rsidR="00855241" w:rsidRPr="001772B0" w14:paraId="3AF0A9F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968D4F" w14:textId="77777777" w:rsidR="00855241" w:rsidRDefault="00855241" w:rsidP="00B73FFA">
            <w:pPr>
              <w:pStyle w:val="TableTextStocktake"/>
            </w:pPr>
            <w:r>
              <w:rPr>
                <w:sz w:val="14"/>
                <w:szCs w:val="14"/>
              </w:rPr>
              <w:t>Moreland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BB7F107"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AA697E0"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1D2971"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CBAF50"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11730A"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7744D0"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97B4E9"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03FDD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2E584E"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FE8671"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78A2A5"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5048F0D" w14:textId="77777777" w:rsidR="00855241" w:rsidRDefault="00855241" w:rsidP="00B73FFA">
            <w:pPr>
              <w:pStyle w:val="TableTextStocktake"/>
              <w:jc w:val="center"/>
            </w:pPr>
            <w:r>
              <w:rPr>
                <w:sz w:val="14"/>
                <w:szCs w:val="14"/>
              </w:rPr>
              <w:t>Yes</w:t>
            </w:r>
          </w:p>
        </w:tc>
      </w:tr>
      <w:tr w:rsidR="00855241" w:rsidRPr="001772B0" w14:paraId="3A015AE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B5EE3B" w14:textId="77777777" w:rsidR="00855241" w:rsidRDefault="00855241" w:rsidP="00B73FFA">
            <w:pPr>
              <w:pStyle w:val="TableTextStocktake"/>
            </w:pPr>
            <w:r>
              <w:rPr>
                <w:sz w:val="14"/>
                <w:szCs w:val="14"/>
              </w:rPr>
              <w:t>Mornington Peninsula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781246E"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05F3F05"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0158F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BFC844"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729F36"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52B188"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71A337"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8F7C01"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94F221"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19A592"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EF19F41"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774E3D" w14:textId="77777777" w:rsidR="00855241" w:rsidRDefault="00855241" w:rsidP="00B73FFA">
            <w:pPr>
              <w:pStyle w:val="TableTextStocktake"/>
              <w:jc w:val="center"/>
            </w:pPr>
            <w:r>
              <w:rPr>
                <w:sz w:val="14"/>
                <w:szCs w:val="14"/>
              </w:rPr>
              <w:t>No</w:t>
            </w:r>
          </w:p>
        </w:tc>
      </w:tr>
      <w:tr w:rsidR="00855241" w:rsidRPr="001772B0" w14:paraId="63B35B8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08C9C6" w14:textId="77777777" w:rsidR="00855241" w:rsidRDefault="00855241" w:rsidP="00B73FFA">
            <w:pPr>
              <w:pStyle w:val="TableTextStocktake"/>
            </w:pPr>
            <w:r>
              <w:rPr>
                <w:sz w:val="14"/>
                <w:szCs w:val="14"/>
              </w:rPr>
              <w:t>Mount Alexander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9318ED1"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D40B241"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0348A5"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06C479"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AC2A53"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E0A038"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6F7E08"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42ABC8"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C4FE5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5CFC29"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42741C"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A6D0707" w14:textId="77777777" w:rsidR="00855241" w:rsidRDefault="00855241" w:rsidP="00B73FFA">
            <w:pPr>
              <w:pStyle w:val="TableTextStocktake"/>
              <w:jc w:val="center"/>
            </w:pPr>
            <w:r>
              <w:rPr>
                <w:sz w:val="14"/>
                <w:szCs w:val="14"/>
              </w:rPr>
              <w:t>Yes</w:t>
            </w:r>
          </w:p>
        </w:tc>
      </w:tr>
      <w:tr w:rsidR="00855241" w:rsidRPr="001772B0" w14:paraId="0499A411"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2CA3409" w14:textId="77777777" w:rsidR="00855241" w:rsidRDefault="00855241" w:rsidP="00B73FFA">
            <w:pPr>
              <w:pStyle w:val="TableTextStocktake"/>
            </w:pPr>
            <w:r>
              <w:rPr>
                <w:sz w:val="14"/>
                <w:szCs w:val="14"/>
              </w:rPr>
              <w:t>Moyne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23B24BF"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1FD8762"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3F85D5"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FDFDF1"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03DDEB"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65524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11E8FF"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2466D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8AF92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8581AC"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CC6CE9"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97B2725" w14:textId="77777777" w:rsidR="00855241" w:rsidRDefault="00855241" w:rsidP="00B73FFA">
            <w:pPr>
              <w:pStyle w:val="TableTextStocktake"/>
              <w:jc w:val="center"/>
            </w:pPr>
            <w:r>
              <w:rPr>
                <w:sz w:val="14"/>
                <w:szCs w:val="14"/>
              </w:rPr>
              <w:t>Yes</w:t>
            </w:r>
          </w:p>
        </w:tc>
      </w:tr>
      <w:tr w:rsidR="00855241" w:rsidRPr="001772B0" w14:paraId="6AB1A8EE"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37C9C4" w14:textId="77777777" w:rsidR="00855241" w:rsidRDefault="00855241" w:rsidP="00B73FFA">
            <w:pPr>
              <w:pStyle w:val="TableTextStocktake"/>
            </w:pPr>
            <w:r>
              <w:rPr>
                <w:sz w:val="14"/>
                <w:szCs w:val="14"/>
              </w:rPr>
              <w:t>Murrindindi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844106A"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6366C6E"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EA7B18"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E813E54"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410B08"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512F1D"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893318"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79E51B"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56F7EE"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722500"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024C09"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2BE9B4" w14:textId="77777777" w:rsidR="00855241" w:rsidRDefault="00855241" w:rsidP="00B73FFA">
            <w:pPr>
              <w:pStyle w:val="TableTextStocktake"/>
              <w:jc w:val="center"/>
            </w:pPr>
            <w:r>
              <w:rPr>
                <w:sz w:val="14"/>
                <w:szCs w:val="14"/>
              </w:rPr>
              <w:t>Yes</w:t>
            </w:r>
          </w:p>
        </w:tc>
      </w:tr>
      <w:tr w:rsidR="00855241" w:rsidRPr="001772B0" w14:paraId="637F188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AAAD1E" w14:textId="77777777" w:rsidR="00855241" w:rsidRDefault="00855241" w:rsidP="00B73FFA">
            <w:pPr>
              <w:pStyle w:val="TableTextStocktake"/>
            </w:pPr>
            <w:r>
              <w:rPr>
                <w:sz w:val="14"/>
                <w:szCs w:val="14"/>
              </w:rPr>
              <w:t>Nillumbik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AC03EFF"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C3DBA71"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2659F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57300E"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DB4733"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475FA0"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42C2669"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CA6736"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E63DA9"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D85B54"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3484AD"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D2AE8D" w14:textId="77777777" w:rsidR="00855241" w:rsidRDefault="00855241" w:rsidP="00B73FFA">
            <w:pPr>
              <w:pStyle w:val="TableTextStocktake"/>
              <w:jc w:val="center"/>
            </w:pPr>
            <w:r>
              <w:rPr>
                <w:sz w:val="14"/>
                <w:szCs w:val="14"/>
              </w:rPr>
              <w:t>No</w:t>
            </w:r>
          </w:p>
        </w:tc>
      </w:tr>
      <w:tr w:rsidR="00855241" w:rsidRPr="001772B0" w14:paraId="162BB920"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DE0EC7" w14:textId="77777777" w:rsidR="00855241" w:rsidRDefault="00855241" w:rsidP="00B73FFA">
            <w:pPr>
              <w:pStyle w:val="TableTextStocktake"/>
            </w:pPr>
            <w:r>
              <w:rPr>
                <w:sz w:val="14"/>
                <w:szCs w:val="14"/>
              </w:rPr>
              <w:lastRenderedPageBreak/>
              <w:t>Northern Grampians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AE9A030"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FB33E9C"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75B32D"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678A4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30CA31"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C9921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F56EF7"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AEDD03"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61896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E192BA"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C6E700"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98C78A" w14:textId="77777777" w:rsidR="00855241" w:rsidRDefault="00855241" w:rsidP="00B73FFA">
            <w:pPr>
              <w:pStyle w:val="TableTextStocktake"/>
              <w:jc w:val="center"/>
            </w:pPr>
            <w:r>
              <w:rPr>
                <w:sz w:val="14"/>
                <w:szCs w:val="14"/>
              </w:rPr>
              <w:t>No</w:t>
            </w:r>
          </w:p>
        </w:tc>
      </w:tr>
      <w:tr w:rsidR="00855241" w:rsidRPr="001772B0" w14:paraId="166FFB8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69B8C0" w14:textId="77777777" w:rsidR="00855241" w:rsidRDefault="00855241" w:rsidP="00B73FFA">
            <w:pPr>
              <w:pStyle w:val="TableTextStocktake"/>
            </w:pPr>
            <w:r>
              <w:rPr>
                <w:sz w:val="14"/>
                <w:szCs w:val="14"/>
              </w:rPr>
              <w:t>Port Phillip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0E15319"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F3DCC83"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DB7CAF"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4AF6CE"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EAFD47"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03485C"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FBDAC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04A03D"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843AD8"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D265E1"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9B5ADA"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F94F9D" w14:textId="77777777" w:rsidR="00855241" w:rsidRDefault="00855241" w:rsidP="00B73FFA">
            <w:pPr>
              <w:pStyle w:val="TableTextStocktake"/>
              <w:jc w:val="center"/>
            </w:pPr>
            <w:r>
              <w:rPr>
                <w:sz w:val="14"/>
                <w:szCs w:val="14"/>
              </w:rPr>
              <w:t>Yes</w:t>
            </w:r>
          </w:p>
        </w:tc>
      </w:tr>
      <w:tr w:rsidR="00855241" w:rsidRPr="001772B0" w14:paraId="70816E6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111413" w14:textId="77777777" w:rsidR="00855241" w:rsidRDefault="00855241" w:rsidP="00B73FFA">
            <w:pPr>
              <w:pStyle w:val="TableTextStocktake"/>
            </w:pPr>
            <w:r>
              <w:rPr>
                <w:sz w:val="14"/>
                <w:szCs w:val="14"/>
              </w:rPr>
              <w:t>Pyrenees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73C1948"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7A2CD14"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A23DA7"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A23EAC9"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F306E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5D66C6"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3C881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3D526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A8F7C9C"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AC26D1"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59F7F8"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8AA8FA" w14:textId="77777777" w:rsidR="00855241" w:rsidRDefault="00855241" w:rsidP="00B73FFA">
            <w:pPr>
              <w:pStyle w:val="TableTextStocktake"/>
              <w:jc w:val="center"/>
            </w:pPr>
            <w:r>
              <w:rPr>
                <w:sz w:val="14"/>
                <w:szCs w:val="14"/>
              </w:rPr>
              <w:t>No</w:t>
            </w:r>
          </w:p>
        </w:tc>
      </w:tr>
      <w:tr w:rsidR="00855241" w:rsidRPr="001772B0" w14:paraId="6BEFA4FA"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74B790" w14:textId="77777777" w:rsidR="00855241" w:rsidRDefault="00855241" w:rsidP="00B73FFA">
            <w:pPr>
              <w:pStyle w:val="TableTextStocktake"/>
            </w:pPr>
            <w:r>
              <w:rPr>
                <w:sz w:val="14"/>
                <w:szCs w:val="14"/>
              </w:rPr>
              <w:t>Queenscliffe (B)</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8B2E2DC"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1B5D9B4"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6DA8A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ECF055"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CCAD8A"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2A7DF7"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2F701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EB9923"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5EC6CF"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FDA6AC"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F00C85"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1D23B6" w14:textId="77777777" w:rsidR="00855241" w:rsidRDefault="00855241" w:rsidP="00B73FFA">
            <w:pPr>
              <w:pStyle w:val="TableTextStocktake"/>
              <w:jc w:val="center"/>
            </w:pPr>
            <w:r>
              <w:rPr>
                <w:sz w:val="14"/>
                <w:szCs w:val="14"/>
              </w:rPr>
              <w:t>Yes</w:t>
            </w:r>
          </w:p>
        </w:tc>
      </w:tr>
      <w:tr w:rsidR="00855241" w:rsidRPr="001772B0" w14:paraId="166F40B2"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98FCEF" w14:textId="77777777" w:rsidR="00855241" w:rsidRDefault="00855241" w:rsidP="00B73FFA">
            <w:pPr>
              <w:pStyle w:val="TableTextStocktake"/>
            </w:pPr>
            <w:r>
              <w:rPr>
                <w:sz w:val="14"/>
                <w:szCs w:val="14"/>
              </w:rPr>
              <w:t>South Gippsland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F2C4F3C"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1E8BF02"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F4A6A3"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A99F2C"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4C1A4D"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C99C21B"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B86040"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5133F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428355"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B54B77"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1CEA2C"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5080EF" w14:textId="77777777" w:rsidR="00855241" w:rsidRDefault="00855241" w:rsidP="00B73FFA">
            <w:pPr>
              <w:pStyle w:val="TableTextStocktake"/>
              <w:jc w:val="center"/>
            </w:pPr>
            <w:r>
              <w:rPr>
                <w:sz w:val="14"/>
                <w:szCs w:val="14"/>
              </w:rPr>
              <w:t>No</w:t>
            </w:r>
          </w:p>
        </w:tc>
      </w:tr>
      <w:tr w:rsidR="00855241" w:rsidRPr="001772B0" w14:paraId="4C993FD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11A768" w14:textId="77777777" w:rsidR="00855241" w:rsidRDefault="00855241" w:rsidP="00B73FFA">
            <w:pPr>
              <w:pStyle w:val="TableTextStocktake"/>
            </w:pPr>
            <w:r>
              <w:rPr>
                <w:sz w:val="14"/>
                <w:szCs w:val="14"/>
              </w:rPr>
              <w:t>Southern Grampians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1502A34"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B6FFC8A"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37DFF8"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9822E2"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7F0042"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39BABE"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BDF1E7"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F5ED7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5A3605E"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B4DF34"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E37FDF"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2AD4769" w14:textId="77777777" w:rsidR="00855241" w:rsidRDefault="00855241" w:rsidP="00B73FFA">
            <w:pPr>
              <w:pStyle w:val="TableTextStocktake"/>
              <w:jc w:val="center"/>
            </w:pPr>
            <w:r>
              <w:rPr>
                <w:sz w:val="14"/>
                <w:szCs w:val="14"/>
              </w:rPr>
              <w:t>Yes</w:t>
            </w:r>
          </w:p>
        </w:tc>
      </w:tr>
      <w:tr w:rsidR="00855241" w:rsidRPr="001772B0" w14:paraId="64D9DEF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33EE62" w14:textId="77777777" w:rsidR="00855241" w:rsidRDefault="00855241" w:rsidP="00B73FFA">
            <w:pPr>
              <w:pStyle w:val="TableTextStocktake"/>
            </w:pPr>
            <w:r>
              <w:rPr>
                <w:sz w:val="14"/>
                <w:szCs w:val="14"/>
              </w:rPr>
              <w:t>Stonnington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94D0211"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A54FF32"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CF03C4"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D077E7"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94C2DD"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049259"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6F0FB0"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B9A4F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FB2D6B"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0A1B7D"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CD7E67"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76EFC9" w14:textId="77777777" w:rsidR="00855241" w:rsidRDefault="00855241" w:rsidP="00B73FFA">
            <w:pPr>
              <w:pStyle w:val="TableTextStocktake"/>
              <w:jc w:val="center"/>
            </w:pPr>
            <w:r>
              <w:rPr>
                <w:sz w:val="14"/>
                <w:szCs w:val="14"/>
              </w:rPr>
              <w:t>Yes</w:t>
            </w:r>
          </w:p>
        </w:tc>
      </w:tr>
      <w:tr w:rsidR="00855241" w:rsidRPr="001772B0" w14:paraId="0FDDBAF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4B879E" w14:textId="77777777" w:rsidR="00855241" w:rsidRDefault="00855241" w:rsidP="00B73FFA">
            <w:pPr>
              <w:pStyle w:val="TableTextStocktake"/>
            </w:pPr>
            <w:r>
              <w:rPr>
                <w:sz w:val="14"/>
                <w:szCs w:val="14"/>
              </w:rPr>
              <w:t>Strathbogie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D9E82BB"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1509FA9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DFC867"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17E4D2"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B2181E"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5409D8"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70A803A"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E62C5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3F64A3"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049E0E"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4303496"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5E2C7E" w14:textId="77777777" w:rsidR="00855241" w:rsidRDefault="00855241" w:rsidP="00B73FFA">
            <w:pPr>
              <w:pStyle w:val="TableTextStocktake"/>
              <w:jc w:val="center"/>
            </w:pPr>
            <w:r>
              <w:rPr>
                <w:sz w:val="14"/>
                <w:szCs w:val="14"/>
              </w:rPr>
              <w:t>Yes</w:t>
            </w:r>
          </w:p>
        </w:tc>
      </w:tr>
      <w:tr w:rsidR="00855241" w:rsidRPr="001772B0" w14:paraId="30FB821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5B2DE3" w14:textId="77777777" w:rsidR="00855241" w:rsidRDefault="00855241" w:rsidP="00B73FFA">
            <w:pPr>
              <w:pStyle w:val="TableTextStocktake"/>
            </w:pPr>
            <w:r>
              <w:rPr>
                <w:sz w:val="14"/>
                <w:szCs w:val="14"/>
              </w:rPr>
              <w:t>Surf Coast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CFC3D39"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3C592CB"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9D3C8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428E003"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26B76B"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57660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F1F29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F4286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BDDA71"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720CA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5C0FD9"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9D8E5FB" w14:textId="77777777" w:rsidR="00855241" w:rsidRDefault="00855241" w:rsidP="00B73FFA">
            <w:pPr>
              <w:pStyle w:val="TableTextStocktake"/>
              <w:jc w:val="center"/>
            </w:pPr>
            <w:r>
              <w:rPr>
                <w:sz w:val="14"/>
                <w:szCs w:val="14"/>
              </w:rPr>
              <w:t>Yes</w:t>
            </w:r>
          </w:p>
        </w:tc>
      </w:tr>
      <w:tr w:rsidR="00855241" w:rsidRPr="001772B0" w14:paraId="67F3B29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BB414A" w14:textId="77777777" w:rsidR="00855241" w:rsidRDefault="00855241" w:rsidP="00B73FFA">
            <w:pPr>
              <w:pStyle w:val="TableTextStocktake"/>
            </w:pPr>
            <w:r>
              <w:rPr>
                <w:sz w:val="14"/>
                <w:szCs w:val="14"/>
              </w:rPr>
              <w:t>Swan Hill (RC)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9C49AE9"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677AD1F"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3934E2"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5AEABE7"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0582AD"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7304CF"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8C4A80"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712C70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66AFA3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0CF3AE"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ED37CC"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8261EE" w14:textId="77777777" w:rsidR="00855241" w:rsidRDefault="00855241" w:rsidP="00B73FFA">
            <w:pPr>
              <w:pStyle w:val="TableTextStocktake"/>
              <w:jc w:val="center"/>
            </w:pPr>
            <w:r>
              <w:rPr>
                <w:sz w:val="14"/>
                <w:szCs w:val="14"/>
              </w:rPr>
              <w:t>Yes</w:t>
            </w:r>
          </w:p>
        </w:tc>
      </w:tr>
      <w:tr w:rsidR="00855241" w:rsidRPr="001772B0" w14:paraId="1E73264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1811FF" w14:textId="77777777" w:rsidR="00855241" w:rsidRDefault="00855241" w:rsidP="00B73FFA">
            <w:pPr>
              <w:pStyle w:val="TableTextStocktake"/>
            </w:pPr>
            <w:r>
              <w:rPr>
                <w:sz w:val="14"/>
                <w:szCs w:val="14"/>
              </w:rPr>
              <w:t>Towong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57718C3"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34FDC25D"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16353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053BA1"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CD5A7D"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1566C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155D79"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AFE218"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818537"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CE0684B"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0DF2DE"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2AFE86" w14:textId="77777777" w:rsidR="00855241" w:rsidRDefault="00855241" w:rsidP="00B73FFA">
            <w:pPr>
              <w:pStyle w:val="TableTextStocktake"/>
              <w:jc w:val="center"/>
            </w:pPr>
            <w:r>
              <w:rPr>
                <w:sz w:val="14"/>
                <w:szCs w:val="14"/>
              </w:rPr>
              <w:t>Yes</w:t>
            </w:r>
          </w:p>
        </w:tc>
      </w:tr>
      <w:tr w:rsidR="00855241" w:rsidRPr="001772B0" w14:paraId="3B292F1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907C8F" w14:textId="77777777" w:rsidR="00855241" w:rsidRDefault="00855241" w:rsidP="00B73FFA">
            <w:pPr>
              <w:pStyle w:val="TableTextStocktake"/>
            </w:pPr>
            <w:r>
              <w:rPr>
                <w:sz w:val="14"/>
                <w:szCs w:val="14"/>
              </w:rPr>
              <w:t>Wangaratta (RC)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C076313"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270A3AD"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43DA2C"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41597E9"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71B2E4"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E8A83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8A72EA"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675D8B"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7C4B8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695B92"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EAC35B"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5579AA" w14:textId="77777777" w:rsidR="00855241" w:rsidRDefault="00855241" w:rsidP="00B73FFA">
            <w:pPr>
              <w:pStyle w:val="TableTextStocktake"/>
              <w:jc w:val="center"/>
            </w:pPr>
            <w:r>
              <w:rPr>
                <w:sz w:val="14"/>
                <w:szCs w:val="14"/>
              </w:rPr>
              <w:t>Yes</w:t>
            </w:r>
          </w:p>
        </w:tc>
      </w:tr>
      <w:tr w:rsidR="00855241" w:rsidRPr="001772B0" w14:paraId="2C35D81E"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01933A" w14:textId="77777777" w:rsidR="00855241" w:rsidRDefault="00855241" w:rsidP="00B73FFA">
            <w:pPr>
              <w:pStyle w:val="TableTextStocktake"/>
            </w:pPr>
            <w:r>
              <w:rPr>
                <w:sz w:val="14"/>
                <w:szCs w:val="14"/>
              </w:rPr>
              <w:t>Warrnambool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579DF2D"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5F73A9A5"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401926"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11AA75"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C53AD3"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6E6EEC"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A2050A"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BA8180B"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AAF1571"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D679C6"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0A8614"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C6B5B6" w14:textId="77777777" w:rsidR="00855241" w:rsidRDefault="00855241" w:rsidP="00B73FFA">
            <w:pPr>
              <w:pStyle w:val="TableTextStocktake"/>
              <w:jc w:val="center"/>
            </w:pPr>
            <w:r>
              <w:rPr>
                <w:sz w:val="14"/>
                <w:szCs w:val="14"/>
              </w:rPr>
              <w:t>Yes</w:t>
            </w:r>
          </w:p>
        </w:tc>
      </w:tr>
      <w:tr w:rsidR="00855241" w:rsidRPr="001772B0" w14:paraId="37CE386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8B0B7F0" w14:textId="77777777" w:rsidR="00855241" w:rsidRDefault="00855241" w:rsidP="00B73FFA">
            <w:pPr>
              <w:pStyle w:val="TableTextStocktake"/>
            </w:pPr>
            <w:r>
              <w:rPr>
                <w:sz w:val="14"/>
                <w:szCs w:val="14"/>
              </w:rPr>
              <w:t>Wellington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E8D3F24" w14:textId="77777777" w:rsidR="00855241" w:rsidRDefault="00855241" w:rsidP="00B73FFA">
            <w:pPr>
              <w:pStyle w:val="TableTextStocktake"/>
            </w:pPr>
            <w:r>
              <w:rPr>
                <w:sz w:val="14"/>
                <w:szCs w:val="14"/>
              </w:rPr>
              <w:t>Rural Large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BBC1076"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8D0442C"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8D44CDD"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957DF3"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0D8794"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7170A5D"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F56435"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12179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203A53"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6A51A7"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CB42CB" w14:textId="77777777" w:rsidR="00855241" w:rsidRDefault="00855241" w:rsidP="00B73FFA">
            <w:pPr>
              <w:pStyle w:val="TableTextStocktake"/>
              <w:jc w:val="center"/>
            </w:pPr>
            <w:r>
              <w:rPr>
                <w:sz w:val="14"/>
                <w:szCs w:val="14"/>
              </w:rPr>
              <w:t>Yes</w:t>
            </w:r>
          </w:p>
        </w:tc>
      </w:tr>
      <w:tr w:rsidR="00855241" w:rsidRPr="001772B0" w14:paraId="3134C90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563B93" w14:textId="77777777" w:rsidR="00855241" w:rsidRDefault="00855241" w:rsidP="00B73FFA">
            <w:pPr>
              <w:pStyle w:val="TableTextStocktake"/>
            </w:pPr>
            <w:r>
              <w:rPr>
                <w:sz w:val="14"/>
                <w:szCs w:val="14"/>
              </w:rPr>
              <w:t>West Wimmera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0388224"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2E59624"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BDAEAD"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E32D9E"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59C92A"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86FDAA"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BE3F71"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94C658"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489CDD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5AADA4C"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854EA2"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265918" w14:textId="77777777" w:rsidR="00855241" w:rsidRDefault="00855241" w:rsidP="00B73FFA">
            <w:pPr>
              <w:pStyle w:val="TableTextStocktake"/>
              <w:jc w:val="center"/>
            </w:pPr>
            <w:r>
              <w:rPr>
                <w:sz w:val="14"/>
                <w:szCs w:val="14"/>
              </w:rPr>
              <w:t>No</w:t>
            </w:r>
          </w:p>
        </w:tc>
      </w:tr>
      <w:tr w:rsidR="00855241" w:rsidRPr="001772B0" w14:paraId="04F297E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1120809" w14:textId="77777777" w:rsidR="00855241" w:rsidRDefault="00855241" w:rsidP="00B73FFA">
            <w:pPr>
              <w:pStyle w:val="TableTextStocktake"/>
            </w:pPr>
            <w:r>
              <w:rPr>
                <w:sz w:val="14"/>
                <w:szCs w:val="14"/>
              </w:rPr>
              <w:t>Whitehorse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BCB14F7" w14:textId="77777777" w:rsidR="00855241" w:rsidRDefault="00855241" w:rsidP="00B73FFA">
            <w:pPr>
              <w:pStyle w:val="TableTextStocktake"/>
            </w:pPr>
            <w:r>
              <w:rPr>
                <w:sz w:val="14"/>
                <w:szCs w:val="14"/>
              </w:rPr>
              <w:t>Metro Middle</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78F01D72"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EA696D3"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7F4F298"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0B982C"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D9997E"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E2318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927E6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071885"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24472AB"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6EFE77C"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903FF6" w14:textId="77777777" w:rsidR="00855241" w:rsidRDefault="00855241" w:rsidP="00B73FFA">
            <w:pPr>
              <w:pStyle w:val="TableTextStocktake"/>
              <w:jc w:val="center"/>
            </w:pPr>
            <w:r>
              <w:rPr>
                <w:sz w:val="14"/>
                <w:szCs w:val="14"/>
              </w:rPr>
              <w:t>No</w:t>
            </w:r>
          </w:p>
        </w:tc>
      </w:tr>
      <w:tr w:rsidR="00855241" w:rsidRPr="001772B0" w14:paraId="63F5AF6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B998EF" w14:textId="77777777" w:rsidR="00855241" w:rsidRDefault="00855241" w:rsidP="00B73FFA">
            <w:pPr>
              <w:pStyle w:val="TableTextStocktake"/>
            </w:pPr>
            <w:r>
              <w:rPr>
                <w:sz w:val="14"/>
                <w:szCs w:val="14"/>
              </w:rPr>
              <w:t>Whittlesea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02CEEE1"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6D4F05A"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2157287"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D789F9"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D4E2A2"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073E2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E7A40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18C55D1"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C51262"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5F232D"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D54C91"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3E71AA3" w14:textId="77777777" w:rsidR="00855241" w:rsidRDefault="00855241" w:rsidP="00B73FFA">
            <w:pPr>
              <w:pStyle w:val="TableTextStocktake"/>
              <w:jc w:val="center"/>
            </w:pPr>
            <w:r>
              <w:rPr>
                <w:sz w:val="14"/>
                <w:szCs w:val="14"/>
              </w:rPr>
              <w:t>No</w:t>
            </w:r>
          </w:p>
        </w:tc>
      </w:tr>
      <w:tr w:rsidR="00855241" w:rsidRPr="001772B0" w14:paraId="5CFC0BE9"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565070" w14:textId="77777777" w:rsidR="00855241" w:rsidRDefault="00855241" w:rsidP="00B73FFA">
            <w:pPr>
              <w:pStyle w:val="TableTextStocktake"/>
            </w:pPr>
            <w:r>
              <w:rPr>
                <w:sz w:val="14"/>
                <w:szCs w:val="14"/>
              </w:rPr>
              <w:t>Wodonga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158D2FA" w14:textId="77777777" w:rsidR="00855241" w:rsidRDefault="00855241" w:rsidP="00B73FFA">
            <w:pPr>
              <w:pStyle w:val="TableTextStocktake"/>
            </w:pPr>
            <w:r>
              <w:rPr>
                <w:sz w:val="14"/>
                <w:szCs w:val="14"/>
              </w:rPr>
              <w:t>Rural City</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7A25EB7"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187E87"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5BAE380"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DB672E6"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62D3BF"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621955"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372AEA4"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A29E7A"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A65A14"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6DA8E1A"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8A62C5" w14:textId="77777777" w:rsidR="00855241" w:rsidRDefault="00855241" w:rsidP="00B73FFA">
            <w:pPr>
              <w:pStyle w:val="TableTextStocktake"/>
              <w:jc w:val="center"/>
            </w:pPr>
            <w:r>
              <w:rPr>
                <w:sz w:val="14"/>
                <w:szCs w:val="14"/>
              </w:rPr>
              <w:t>Yes</w:t>
            </w:r>
          </w:p>
        </w:tc>
      </w:tr>
      <w:tr w:rsidR="00855241" w:rsidRPr="001772B0" w14:paraId="65E4BD23"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61DC82" w14:textId="77777777" w:rsidR="00855241" w:rsidRDefault="00855241" w:rsidP="00B73FFA">
            <w:pPr>
              <w:pStyle w:val="TableTextStocktake"/>
            </w:pPr>
            <w:r>
              <w:rPr>
                <w:sz w:val="14"/>
                <w:szCs w:val="14"/>
              </w:rPr>
              <w:t>Wyndham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1555286"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14BBCB8"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19390BE"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24C82D"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2049A1"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4B572D1"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00280C9"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137616"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A60660"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4F8FA8"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46E066"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1B5DA7" w14:textId="77777777" w:rsidR="00855241" w:rsidRDefault="00855241" w:rsidP="00B73FFA">
            <w:pPr>
              <w:pStyle w:val="TableTextStocktake"/>
              <w:jc w:val="center"/>
            </w:pPr>
            <w:r>
              <w:rPr>
                <w:sz w:val="14"/>
                <w:szCs w:val="14"/>
              </w:rPr>
              <w:t>No</w:t>
            </w:r>
          </w:p>
        </w:tc>
      </w:tr>
      <w:tr w:rsidR="00855241" w:rsidRPr="001772B0" w14:paraId="5E34C47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38D005" w14:textId="77777777" w:rsidR="00855241" w:rsidRDefault="00855241" w:rsidP="00B73FFA">
            <w:pPr>
              <w:pStyle w:val="TableTextStocktake"/>
            </w:pPr>
            <w:r>
              <w:rPr>
                <w:sz w:val="14"/>
                <w:szCs w:val="14"/>
              </w:rPr>
              <w:t>Yarra (C)</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0590FD4D" w14:textId="77777777" w:rsidR="00855241" w:rsidRDefault="00855241" w:rsidP="00B73FFA">
            <w:pPr>
              <w:pStyle w:val="TableTextStocktake"/>
            </w:pPr>
            <w:r>
              <w:rPr>
                <w:sz w:val="14"/>
                <w:szCs w:val="14"/>
              </w:rPr>
              <w:t>Metro Inner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6523044" w14:textId="77777777" w:rsidR="00855241" w:rsidRDefault="00855241" w:rsidP="00B73FFA">
            <w:pPr>
              <w:pStyle w:val="TableTextStocktake"/>
              <w:jc w:val="center"/>
            </w:pPr>
            <w:r>
              <w:rPr>
                <w:sz w:val="14"/>
                <w:szCs w:val="14"/>
              </w:rPr>
              <w:t>Yes</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126A82"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8CD3D7"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8A7DE6A"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B0C2D00"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271E16"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B9F79A" w14:textId="77777777" w:rsidR="00855241" w:rsidRDefault="00855241" w:rsidP="00B73FFA">
            <w:pPr>
              <w:pStyle w:val="TableTextStocktake"/>
              <w:jc w:val="center"/>
            </w:pPr>
            <w:r>
              <w:rPr>
                <w:sz w:val="14"/>
                <w:szCs w:val="14"/>
              </w:rPr>
              <w:t>Yes</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5C9EF7" w14:textId="77777777" w:rsidR="00855241" w:rsidRDefault="00855241" w:rsidP="00B73FFA">
            <w:pPr>
              <w:pStyle w:val="TableTextStocktake"/>
              <w:jc w:val="center"/>
            </w:pPr>
            <w:r>
              <w:rPr>
                <w:sz w:val="14"/>
                <w:szCs w:val="14"/>
              </w:rPr>
              <w:t>Yes</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14B69A3"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204803"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7784F7" w14:textId="77777777" w:rsidR="00855241" w:rsidRDefault="00855241" w:rsidP="00B73FFA">
            <w:pPr>
              <w:pStyle w:val="TableTextStocktake"/>
              <w:jc w:val="center"/>
            </w:pPr>
            <w:r>
              <w:rPr>
                <w:sz w:val="14"/>
                <w:szCs w:val="14"/>
              </w:rPr>
              <w:t>Yes</w:t>
            </w:r>
          </w:p>
        </w:tc>
      </w:tr>
      <w:tr w:rsidR="00855241" w:rsidRPr="001772B0" w14:paraId="79975194"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9619658" w14:textId="77777777" w:rsidR="00855241" w:rsidRDefault="00855241" w:rsidP="00B73FFA">
            <w:pPr>
              <w:pStyle w:val="TableTextStocktake"/>
            </w:pPr>
            <w:r>
              <w:rPr>
                <w:sz w:val="14"/>
                <w:szCs w:val="14"/>
              </w:rPr>
              <w:t>Yarra Ranges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1FD17FA5" w14:textId="77777777" w:rsidR="00855241" w:rsidRDefault="00855241" w:rsidP="00B73FFA">
            <w:pPr>
              <w:pStyle w:val="TableTextStocktake"/>
            </w:pPr>
            <w:r>
              <w:rPr>
                <w:sz w:val="14"/>
                <w:szCs w:val="14"/>
              </w:rPr>
              <w:t>Metro Outer</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31A8FF8"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D11EB51"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37D748A" w14:textId="77777777" w:rsidR="00855241" w:rsidRDefault="00855241" w:rsidP="00B73FFA">
            <w:pPr>
              <w:pStyle w:val="TableTextStocktake"/>
              <w:jc w:val="center"/>
            </w:pPr>
            <w:r>
              <w:rPr>
                <w:sz w:val="14"/>
                <w:szCs w:val="14"/>
              </w:rPr>
              <w:t>Yes</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EECC48C" w14:textId="77777777" w:rsidR="00855241" w:rsidRDefault="00855241" w:rsidP="00B73FFA">
            <w:pPr>
              <w:pStyle w:val="TableTextStocktake"/>
              <w:jc w:val="center"/>
            </w:pPr>
            <w:r>
              <w:rPr>
                <w:sz w:val="14"/>
                <w:szCs w:val="14"/>
              </w:rPr>
              <w:t>Yes</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3D16B6"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E9D1485" w14:textId="77777777" w:rsidR="00855241" w:rsidRDefault="00855241" w:rsidP="00B73FFA">
            <w:pPr>
              <w:pStyle w:val="TableTextStocktake"/>
              <w:jc w:val="center"/>
            </w:pPr>
            <w:r>
              <w:rPr>
                <w:sz w:val="14"/>
                <w:szCs w:val="14"/>
              </w:rPr>
              <w:t>Yes</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28E1F9"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71D504"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05BFD6"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39D563A"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601AEAF" w14:textId="77777777" w:rsidR="00855241" w:rsidRDefault="00855241" w:rsidP="00B73FFA">
            <w:pPr>
              <w:pStyle w:val="TableTextStocktake"/>
              <w:jc w:val="center"/>
            </w:pPr>
            <w:r>
              <w:rPr>
                <w:sz w:val="14"/>
                <w:szCs w:val="14"/>
              </w:rPr>
              <w:t>Yes</w:t>
            </w:r>
          </w:p>
        </w:tc>
      </w:tr>
      <w:tr w:rsidR="00855241" w:rsidRPr="001772B0" w14:paraId="235E5E87"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D218B15" w14:textId="77777777" w:rsidR="00855241" w:rsidRDefault="00855241" w:rsidP="00B73FFA">
            <w:pPr>
              <w:pStyle w:val="TableTextStocktake"/>
            </w:pPr>
            <w:r>
              <w:rPr>
                <w:sz w:val="14"/>
                <w:szCs w:val="14"/>
              </w:rPr>
              <w:t>Yarriambiack (S)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4AE18942" w14:textId="77777777" w:rsidR="00855241" w:rsidRDefault="00855241" w:rsidP="00B73FFA">
            <w:pPr>
              <w:pStyle w:val="TableTextStocktake"/>
            </w:pPr>
            <w:r>
              <w:rPr>
                <w:sz w:val="14"/>
                <w:szCs w:val="14"/>
              </w:rPr>
              <w:t>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95B80A4"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6630159" w14:textId="77777777" w:rsidR="00855241" w:rsidRDefault="00855241" w:rsidP="00B73FFA">
            <w:pPr>
              <w:pStyle w:val="TableTextStocktake"/>
              <w:jc w:val="center"/>
            </w:pPr>
            <w:r>
              <w:rPr>
                <w:sz w:val="14"/>
                <w:szCs w:val="14"/>
              </w:rPr>
              <w:t>No</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379125"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1C7FBCE"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013CCA0"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29DF835"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47F12E"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FFC4913"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8C562A" w14:textId="77777777" w:rsidR="00855241" w:rsidRDefault="00855241" w:rsidP="00B73FFA">
            <w:pPr>
              <w:pStyle w:val="TableTextStocktake"/>
              <w:jc w:val="center"/>
            </w:pPr>
            <w:r>
              <w:rPr>
                <w:sz w:val="14"/>
                <w:szCs w:val="14"/>
              </w:rPr>
              <w:t>Yes</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D25143" w14:textId="77777777" w:rsidR="00855241" w:rsidRDefault="00855241" w:rsidP="00B73FFA">
            <w:pPr>
              <w:pStyle w:val="TableTextStocktake"/>
              <w:jc w:val="center"/>
            </w:pPr>
            <w:r>
              <w:rPr>
                <w:sz w:val="14"/>
                <w:szCs w:val="14"/>
              </w:rPr>
              <w:t>No</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5846688" w14:textId="77777777" w:rsidR="00855241" w:rsidRDefault="00855241" w:rsidP="00B73FFA">
            <w:pPr>
              <w:pStyle w:val="TableTextStocktake"/>
              <w:jc w:val="center"/>
            </w:pPr>
            <w:r>
              <w:rPr>
                <w:sz w:val="14"/>
                <w:szCs w:val="14"/>
              </w:rPr>
              <w:t>No</w:t>
            </w:r>
          </w:p>
        </w:tc>
      </w:tr>
      <w:tr w:rsidR="00855241" w:rsidRPr="001772B0" w14:paraId="613B39BD"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765D22D4" w14:textId="77777777" w:rsidR="00855241" w:rsidRPr="001772B0" w:rsidRDefault="00855241" w:rsidP="00B73FFA">
            <w:pPr>
              <w:pStyle w:val="NoParagraphStyle"/>
              <w:spacing w:line="240" w:lineRule="auto"/>
              <w:textAlignment w:val="auto"/>
              <w:rPr>
                <w:rFonts w:cs="Times New Roman"/>
                <w:color w:val="auto"/>
              </w:rPr>
            </w:pP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0" w:type="dxa"/>
              <w:right w:w="80" w:type="dxa"/>
            </w:tcMar>
          </w:tcPr>
          <w:p w14:paraId="6E0E0B49" w14:textId="77777777" w:rsidR="00855241" w:rsidRPr="001772B0" w:rsidRDefault="00855241" w:rsidP="00B73FFA">
            <w:pPr>
              <w:pStyle w:val="NoParagraphStyle"/>
              <w:spacing w:line="240" w:lineRule="auto"/>
              <w:textAlignment w:val="auto"/>
              <w:rPr>
                <w:rFonts w:cs="Times New Roman"/>
                <w:color w:val="auto"/>
              </w:rPr>
            </w:pP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0" w:type="dxa"/>
              <w:right w:w="80" w:type="dxa"/>
            </w:tcMar>
          </w:tcPr>
          <w:p w14:paraId="2BD3DB7E" w14:textId="77777777" w:rsidR="00855241" w:rsidRPr="001772B0" w:rsidRDefault="00855241" w:rsidP="00B73FFA">
            <w:pPr>
              <w:pStyle w:val="NoParagraphStyle"/>
              <w:spacing w:line="240" w:lineRule="auto"/>
              <w:textAlignment w:val="auto"/>
              <w:rPr>
                <w:rFonts w:cs="Times New Roman"/>
                <w:color w:val="auto"/>
              </w:rPr>
            </w:pP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799840DE" w14:textId="77777777" w:rsidR="00855241" w:rsidRPr="001772B0" w:rsidRDefault="00855241" w:rsidP="00B73FFA">
            <w:pPr>
              <w:pStyle w:val="NoParagraphStyle"/>
              <w:spacing w:line="240" w:lineRule="auto"/>
              <w:textAlignment w:val="auto"/>
              <w:rPr>
                <w:rFonts w:cs="Times New Roman"/>
                <w:color w:val="auto"/>
              </w:rPr>
            </w:pP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60FD8B85" w14:textId="77777777" w:rsidR="00855241" w:rsidRPr="001772B0" w:rsidRDefault="00855241" w:rsidP="00B73FFA">
            <w:pPr>
              <w:pStyle w:val="NoParagraphStyle"/>
              <w:spacing w:line="240" w:lineRule="auto"/>
              <w:textAlignment w:val="auto"/>
              <w:rPr>
                <w:rFonts w:cs="Times New Roman"/>
                <w:color w:val="auto"/>
              </w:rPr>
            </w:pP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79DE455B" w14:textId="77777777" w:rsidR="00855241" w:rsidRPr="001772B0" w:rsidRDefault="00855241" w:rsidP="00B73FFA">
            <w:pPr>
              <w:pStyle w:val="NoParagraphStyle"/>
              <w:spacing w:line="240" w:lineRule="auto"/>
              <w:textAlignment w:val="auto"/>
              <w:rPr>
                <w:rFonts w:cs="Times New Roman"/>
                <w:color w:val="auto"/>
              </w:rPr>
            </w:pP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5F179E4E" w14:textId="77777777" w:rsidR="00855241" w:rsidRPr="001772B0" w:rsidRDefault="00855241" w:rsidP="00B73FFA">
            <w:pPr>
              <w:pStyle w:val="NoParagraphStyle"/>
              <w:spacing w:line="240" w:lineRule="auto"/>
              <w:textAlignment w:val="auto"/>
              <w:rPr>
                <w:rFonts w:cs="Times New Roman"/>
                <w:color w:val="auto"/>
              </w:rPr>
            </w:pP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2821060E" w14:textId="77777777" w:rsidR="00855241" w:rsidRPr="001772B0" w:rsidRDefault="00855241" w:rsidP="00B73FFA">
            <w:pPr>
              <w:pStyle w:val="NoParagraphStyle"/>
              <w:spacing w:line="240" w:lineRule="auto"/>
              <w:textAlignment w:val="auto"/>
              <w:rPr>
                <w:rFonts w:cs="Times New Roman"/>
                <w:color w:val="auto"/>
              </w:rPr>
            </w:pP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15F21A42" w14:textId="77777777" w:rsidR="00855241" w:rsidRPr="001772B0" w:rsidRDefault="00855241" w:rsidP="00B73FFA">
            <w:pPr>
              <w:pStyle w:val="NoParagraphStyle"/>
              <w:spacing w:line="240" w:lineRule="auto"/>
              <w:textAlignment w:val="auto"/>
              <w:rPr>
                <w:rFonts w:cs="Times New Roman"/>
                <w:color w:val="auto"/>
              </w:rPr>
            </w:pP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03E62149" w14:textId="77777777" w:rsidR="00855241" w:rsidRPr="001772B0" w:rsidRDefault="00855241" w:rsidP="00B73FFA">
            <w:pPr>
              <w:pStyle w:val="NoParagraphStyle"/>
              <w:spacing w:line="240" w:lineRule="auto"/>
              <w:textAlignment w:val="auto"/>
              <w:rPr>
                <w:rFonts w:cs="Times New Roman"/>
                <w:color w:val="auto"/>
              </w:rPr>
            </w:pP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2E978FB0" w14:textId="77777777" w:rsidR="00855241" w:rsidRPr="001772B0" w:rsidRDefault="00855241" w:rsidP="00B73FFA">
            <w:pPr>
              <w:pStyle w:val="NoParagraphStyle"/>
              <w:spacing w:line="240" w:lineRule="auto"/>
              <w:textAlignment w:val="auto"/>
              <w:rPr>
                <w:rFonts w:cs="Times New Roman"/>
                <w:color w:val="auto"/>
              </w:rPr>
            </w:pP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07702630" w14:textId="77777777" w:rsidR="00855241" w:rsidRPr="001772B0" w:rsidRDefault="00855241" w:rsidP="00B73FFA">
            <w:pPr>
              <w:pStyle w:val="NoParagraphStyle"/>
              <w:spacing w:line="240" w:lineRule="auto"/>
              <w:textAlignment w:val="auto"/>
              <w:rPr>
                <w:rFonts w:cs="Times New Roman"/>
                <w:color w:val="auto"/>
              </w:rPr>
            </w:pP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0" w:type="dxa"/>
              <w:right w:w="80" w:type="dxa"/>
            </w:tcMar>
          </w:tcPr>
          <w:p w14:paraId="7475AB58" w14:textId="77777777" w:rsidR="00855241" w:rsidRPr="001772B0" w:rsidRDefault="00855241" w:rsidP="00B73FFA">
            <w:pPr>
              <w:pStyle w:val="NoParagraphStyle"/>
              <w:spacing w:line="240" w:lineRule="auto"/>
              <w:textAlignment w:val="auto"/>
              <w:rPr>
                <w:rFonts w:cs="Times New Roman"/>
                <w:color w:val="auto"/>
              </w:rPr>
            </w:pPr>
          </w:p>
        </w:tc>
      </w:tr>
      <w:tr w:rsidR="00855241" w:rsidRPr="001772B0" w14:paraId="1F101FFE"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82301B8" w14:textId="77777777" w:rsidR="00855241" w:rsidRDefault="00855241" w:rsidP="00B73FFA">
            <w:pPr>
              <w:pStyle w:val="TableTextStocktake"/>
            </w:pPr>
            <w:r>
              <w:rPr>
                <w:sz w:val="14"/>
                <w:szCs w:val="14"/>
              </w:rPr>
              <w:t>Alpine Resorts</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205C590" w14:textId="77777777" w:rsidR="00855241" w:rsidRDefault="00855241" w:rsidP="00B73FFA">
            <w:pPr>
              <w:pStyle w:val="TableTextStocktake"/>
            </w:pPr>
            <w:r>
              <w:rPr>
                <w:sz w:val="14"/>
                <w:szCs w:val="14"/>
              </w:rPr>
              <w:t>Non-LGA</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278F75C" w14:textId="77777777" w:rsidR="00855241" w:rsidRDefault="00855241" w:rsidP="00B73FFA">
            <w:pPr>
              <w:pStyle w:val="TableTextStocktake"/>
              <w:jc w:val="center"/>
            </w:pPr>
            <w:r>
              <w:rPr>
                <w:sz w:val="14"/>
                <w:szCs w:val="14"/>
              </w:rPr>
              <w:t>-</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B65A4B" w14:textId="77777777" w:rsidR="00855241" w:rsidRDefault="00855241" w:rsidP="00B73FFA">
            <w:pPr>
              <w:pStyle w:val="TableTextStocktake"/>
              <w:jc w:val="center"/>
            </w:pPr>
            <w:r>
              <w:rPr>
                <w:sz w:val="14"/>
                <w:szCs w:val="14"/>
              </w:rPr>
              <w:t>-</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FB2A8DF" w14:textId="77777777" w:rsidR="00855241" w:rsidRDefault="00855241" w:rsidP="00B73FFA">
            <w:pPr>
              <w:pStyle w:val="TableTextStocktake"/>
              <w:jc w:val="center"/>
            </w:pPr>
            <w:r>
              <w:rPr>
                <w:sz w:val="14"/>
                <w:szCs w:val="14"/>
              </w:rPr>
              <w:t>-</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051A46" w14:textId="77777777" w:rsidR="00855241" w:rsidRDefault="00855241" w:rsidP="00B73FFA">
            <w:pPr>
              <w:pStyle w:val="TableTextStocktake"/>
              <w:jc w:val="center"/>
            </w:pPr>
            <w:r>
              <w:rPr>
                <w:sz w:val="14"/>
                <w:szCs w:val="14"/>
              </w:rPr>
              <w:t>-</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2CDD029"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CB7A1D8" w14:textId="77777777" w:rsidR="00855241" w:rsidRDefault="00855241" w:rsidP="00B73FFA">
            <w:pPr>
              <w:pStyle w:val="TableTextStocktake"/>
              <w:jc w:val="center"/>
            </w:pPr>
            <w:r>
              <w:rPr>
                <w:sz w:val="14"/>
                <w:szCs w:val="14"/>
              </w:rPr>
              <w:t>-</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C892FD"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8BBE49A" w14:textId="77777777" w:rsidR="00855241" w:rsidRDefault="00855241" w:rsidP="00B73FFA">
            <w:pPr>
              <w:pStyle w:val="TableTextStocktake"/>
              <w:jc w:val="center"/>
            </w:pPr>
            <w:r>
              <w:rPr>
                <w:sz w:val="14"/>
                <w:szCs w:val="14"/>
              </w:rPr>
              <w:t>-</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3DC8FA" w14:textId="77777777" w:rsidR="00855241" w:rsidRDefault="00855241" w:rsidP="00B73FFA">
            <w:pPr>
              <w:pStyle w:val="TableTextStocktake"/>
              <w:jc w:val="center"/>
            </w:pPr>
            <w:r>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C540147" w14:textId="77777777" w:rsidR="00855241" w:rsidRDefault="00855241" w:rsidP="00B73FFA">
            <w:pPr>
              <w:pStyle w:val="TableTextStocktake"/>
              <w:jc w:val="center"/>
            </w:pPr>
            <w:r>
              <w:rPr>
                <w:sz w:val="14"/>
                <w:szCs w:val="14"/>
              </w:rPr>
              <w:t>-</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DC1CE32" w14:textId="77777777" w:rsidR="00855241" w:rsidRDefault="00855241" w:rsidP="00B73FFA">
            <w:pPr>
              <w:pStyle w:val="TableTextStocktake"/>
              <w:jc w:val="center"/>
            </w:pPr>
            <w:r>
              <w:rPr>
                <w:sz w:val="14"/>
                <w:szCs w:val="14"/>
              </w:rPr>
              <w:t>-</w:t>
            </w:r>
          </w:p>
        </w:tc>
      </w:tr>
      <w:tr w:rsidR="00855241" w:rsidRPr="001772B0" w14:paraId="78143896"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A82638" w14:textId="77777777" w:rsidR="00855241" w:rsidRDefault="00855241" w:rsidP="00B73FFA">
            <w:pPr>
              <w:pStyle w:val="TableTextStocktake"/>
            </w:pPr>
            <w:r>
              <w:rPr>
                <w:sz w:val="14"/>
                <w:szCs w:val="14"/>
              </w:rPr>
              <w:t xml:space="preserve">   Falls Creek (ARMB)</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5CF0F1A" w14:textId="77777777" w:rsidR="00855241" w:rsidRDefault="00855241" w:rsidP="00B73FFA">
            <w:pPr>
              <w:pStyle w:val="TableTextStocktake"/>
            </w:pPr>
            <w:r>
              <w:rPr>
                <w:sz w:val="14"/>
                <w:szCs w:val="14"/>
              </w:rPr>
              <w:t>Non-LGA</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38353B4" w14:textId="77777777" w:rsidR="00855241" w:rsidRDefault="00855241" w:rsidP="00B73FFA">
            <w:pPr>
              <w:pStyle w:val="TableTextStocktake"/>
              <w:jc w:val="center"/>
            </w:pPr>
            <w:r>
              <w:rPr>
                <w:sz w:val="14"/>
                <w:szCs w:val="14"/>
              </w:rPr>
              <w:t>-</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2EF297" w14:textId="77777777" w:rsidR="00855241" w:rsidRDefault="00855241" w:rsidP="00B73FFA">
            <w:pPr>
              <w:pStyle w:val="TableTextStocktake"/>
              <w:jc w:val="center"/>
            </w:pPr>
            <w:r>
              <w:rPr>
                <w:sz w:val="14"/>
                <w:szCs w:val="14"/>
              </w:rPr>
              <w:t>-</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41D484C" w14:textId="77777777" w:rsidR="00855241" w:rsidRDefault="00855241" w:rsidP="00B73FFA">
            <w:pPr>
              <w:pStyle w:val="TableTextStocktake"/>
              <w:jc w:val="center"/>
            </w:pPr>
            <w:r>
              <w:rPr>
                <w:sz w:val="14"/>
                <w:szCs w:val="14"/>
              </w:rPr>
              <w:t>-</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26B635B" w14:textId="77777777" w:rsidR="00855241" w:rsidRDefault="00855241" w:rsidP="00B73FFA">
            <w:pPr>
              <w:pStyle w:val="TableTextStocktake"/>
              <w:jc w:val="center"/>
            </w:pPr>
            <w:r>
              <w:rPr>
                <w:sz w:val="14"/>
                <w:szCs w:val="14"/>
              </w:rPr>
              <w:t>-</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CCF5075"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84E6D65" w14:textId="77777777" w:rsidR="00855241" w:rsidRDefault="00855241" w:rsidP="00B73FFA">
            <w:pPr>
              <w:pStyle w:val="TableTextStocktake"/>
              <w:jc w:val="center"/>
            </w:pPr>
            <w:r>
              <w:rPr>
                <w:sz w:val="14"/>
                <w:szCs w:val="14"/>
              </w:rPr>
              <w:t>-</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3C7B42C"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F57FF2F" w14:textId="77777777" w:rsidR="00855241" w:rsidRDefault="00855241" w:rsidP="00B73FFA">
            <w:pPr>
              <w:pStyle w:val="TableTextStocktake"/>
              <w:jc w:val="center"/>
            </w:pPr>
            <w:r>
              <w:rPr>
                <w:sz w:val="14"/>
                <w:szCs w:val="14"/>
              </w:rPr>
              <w:t>-</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E58A02" w14:textId="77777777" w:rsidR="00855241" w:rsidRDefault="00855241" w:rsidP="00B73FFA">
            <w:pPr>
              <w:pStyle w:val="TableTextStocktake"/>
              <w:jc w:val="center"/>
            </w:pPr>
            <w:r>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9EC6A0E" w14:textId="77777777" w:rsidR="00855241" w:rsidRDefault="00855241" w:rsidP="00B73FFA">
            <w:pPr>
              <w:pStyle w:val="TableTextStocktake"/>
              <w:jc w:val="center"/>
            </w:pPr>
            <w:r>
              <w:rPr>
                <w:sz w:val="14"/>
                <w:szCs w:val="14"/>
              </w:rPr>
              <w:t>-</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AD9AB1" w14:textId="77777777" w:rsidR="00855241" w:rsidRDefault="00855241" w:rsidP="00B73FFA">
            <w:pPr>
              <w:pStyle w:val="TableTextStocktake"/>
              <w:jc w:val="center"/>
            </w:pPr>
            <w:r>
              <w:rPr>
                <w:sz w:val="14"/>
                <w:szCs w:val="14"/>
              </w:rPr>
              <w:t>-</w:t>
            </w:r>
          </w:p>
        </w:tc>
      </w:tr>
      <w:tr w:rsidR="00855241" w:rsidRPr="001772B0" w14:paraId="71C7FAB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CBCCDA" w14:textId="77777777" w:rsidR="00855241" w:rsidRDefault="00855241" w:rsidP="00B73FFA">
            <w:pPr>
              <w:pStyle w:val="TableTextStocktake"/>
            </w:pPr>
            <w:r>
              <w:rPr>
                <w:sz w:val="14"/>
                <w:szCs w:val="14"/>
              </w:rPr>
              <w:t xml:space="preserve">   Mt Buller &amp; Mt Stirling (ARMB)</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377E9280" w14:textId="77777777" w:rsidR="00855241" w:rsidRDefault="00855241" w:rsidP="00B73FFA">
            <w:pPr>
              <w:pStyle w:val="TableTextStocktake"/>
            </w:pPr>
            <w:r>
              <w:rPr>
                <w:sz w:val="14"/>
                <w:szCs w:val="14"/>
              </w:rPr>
              <w:t>Non-LGA / Rural Small</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0DC70109" w14:textId="77777777" w:rsidR="00855241" w:rsidRDefault="00855241" w:rsidP="00B73FFA">
            <w:pPr>
              <w:pStyle w:val="TableTextStocktake"/>
              <w:jc w:val="center"/>
            </w:pPr>
            <w:r>
              <w:rPr>
                <w:sz w:val="14"/>
                <w:szCs w:val="14"/>
              </w:rPr>
              <w:t>No</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67F6327" w14:textId="77777777" w:rsidR="00855241" w:rsidRDefault="00855241" w:rsidP="00B73FFA">
            <w:pPr>
              <w:pStyle w:val="TableTextStocktake"/>
              <w:jc w:val="center"/>
            </w:pPr>
            <w:r>
              <w:rPr>
                <w:sz w:val="14"/>
                <w:szCs w:val="14"/>
              </w:rPr>
              <w:t>Yes</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00BA172" w14:textId="77777777" w:rsidR="00855241" w:rsidRDefault="00855241" w:rsidP="00B73FFA">
            <w:pPr>
              <w:pStyle w:val="TableTextStocktake"/>
              <w:jc w:val="center"/>
            </w:pPr>
            <w:r>
              <w:rPr>
                <w:sz w:val="14"/>
                <w:szCs w:val="14"/>
              </w:rPr>
              <w:t>No</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93D3076" w14:textId="77777777" w:rsidR="00855241" w:rsidRDefault="00855241" w:rsidP="00B73FFA">
            <w:pPr>
              <w:pStyle w:val="TableTextStocktake"/>
              <w:jc w:val="center"/>
            </w:pPr>
            <w:r>
              <w:rPr>
                <w:sz w:val="14"/>
                <w:szCs w:val="14"/>
              </w:rPr>
              <w:t>No</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B78F27E"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9FB81CD" w14:textId="77777777" w:rsidR="00855241" w:rsidRDefault="00855241" w:rsidP="00B73FFA">
            <w:pPr>
              <w:pStyle w:val="TableTextStocktake"/>
              <w:jc w:val="center"/>
            </w:pPr>
            <w:r>
              <w:rPr>
                <w:sz w:val="14"/>
                <w:szCs w:val="14"/>
              </w:rPr>
              <w:t>No</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0AF4787" w14:textId="77777777" w:rsidR="00855241" w:rsidRDefault="00855241" w:rsidP="00B73FFA">
            <w:pPr>
              <w:pStyle w:val="TableTextStocktake"/>
              <w:jc w:val="center"/>
            </w:pPr>
            <w:r>
              <w:rPr>
                <w:sz w:val="14"/>
                <w:szCs w:val="14"/>
              </w:rPr>
              <w:t>No</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F57C668" w14:textId="77777777" w:rsidR="00855241" w:rsidRDefault="00855241" w:rsidP="00B73FFA">
            <w:pPr>
              <w:pStyle w:val="TableTextStocktake"/>
              <w:jc w:val="center"/>
            </w:pPr>
            <w:r>
              <w:rPr>
                <w:sz w:val="14"/>
                <w:szCs w:val="14"/>
              </w:rPr>
              <w:t>No</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5635EBE" w14:textId="77777777" w:rsidR="00855241" w:rsidRDefault="00855241" w:rsidP="00B73FFA">
            <w:pPr>
              <w:pStyle w:val="TableTextStocktake"/>
              <w:jc w:val="center"/>
            </w:pPr>
            <w:r>
              <w:rPr>
                <w:sz w:val="14"/>
                <w:szCs w:val="14"/>
              </w:rPr>
              <w:t>No</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0368C7E" w14:textId="77777777" w:rsidR="00855241" w:rsidRDefault="00855241" w:rsidP="00B73FFA">
            <w:pPr>
              <w:pStyle w:val="TableTextStocktake"/>
              <w:jc w:val="center"/>
            </w:pPr>
            <w:r>
              <w:rPr>
                <w:sz w:val="14"/>
                <w:szCs w:val="14"/>
              </w:rPr>
              <w:t>Yes</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7B8A613" w14:textId="77777777" w:rsidR="00855241" w:rsidRDefault="00855241" w:rsidP="00B73FFA">
            <w:pPr>
              <w:pStyle w:val="TableTextStocktake"/>
              <w:jc w:val="center"/>
            </w:pPr>
            <w:r>
              <w:rPr>
                <w:sz w:val="14"/>
                <w:szCs w:val="14"/>
              </w:rPr>
              <w:t>Yes</w:t>
            </w:r>
          </w:p>
        </w:tc>
      </w:tr>
      <w:tr w:rsidR="00855241" w:rsidRPr="001772B0" w14:paraId="2D53820F"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FEB550B" w14:textId="77777777" w:rsidR="00855241" w:rsidRDefault="00855241" w:rsidP="00B73FFA">
            <w:pPr>
              <w:pStyle w:val="TableTextStocktake"/>
            </w:pPr>
            <w:r>
              <w:rPr>
                <w:sz w:val="14"/>
                <w:szCs w:val="14"/>
              </w:rPr>
              <w:t xml:space="preserve">   Mt Hotham (ARMB)</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222A50F4" w14:textId="77777777" w:rsidR="00855241" w:rsidRDefault="00855241" w:rsidP="00B73FFA">
            <w:pPr>
              <w:pStyle w:val="TableTextStocktake"/>
            </w:pPr>
            <w:r>
              <w:rPr>
                <w:sz w:val="14"/>
                <w:szCs w:val="14"/>
              </w:rPr>
              <w:t>Non-LGA</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4C705ED5" w14:textId="77777777" w:rsidR="00855241" w:rsidRDefault="00855241" w:rsidP="00B73FFA">
            <w:pPr>
              <w:pStyle w:val="TableTextStocktake"/>
              <w:jc w:val="center"/>
            </w:pPr>
            <w:r>
              <w:rPr>
                <w:sz w:val="14"/>
                <w:szCs w:val="14"/>
              </w:rPr>
              <w:t>-</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F2E214" w14:textId="77777777" w:rsidR="00855241" w:rsidRDefault="00855241" w:rsidP="00B73FFA">
            <w:pPr>
              <w:pStyle w:val="TableTextStocktake"/>
              <w:jc w:val="center"/>
            </w:pPr>
            <w:r>
              <w:rPr>
                <w:sz w:val="14"/>
                <w:szCs w:val="14"/>
              </w:rPr>
              <w:t>-</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9D7E4CB" w14:textId="77777777" w:rsidR="00855241" w:rsidRDefault="00855241" w:rsidP="00B73FFA">
            <w:pPr>
              <w:pStyle w:val="TableTextStocktake"/>
              <w:jc w:val="center"/>
            </w:pPr>
            <w:r>
              <w:rPr>
                <w:sz w:val="14"/>
                <w:szCs w:val="14"/>
              </w:rPr>
              <w:t>-</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A711D2F" w14:textId="77777777" w:rsidR="00855241" w:rsidRDefault="00855241" w:rsidP="00B73FFA">
            <w:pPr>
              <w:pStyle w:val="TableTextStocktake"/>
              <w:jc w:val="center"/>
            </w:pPr>
            <w:r>
              <w:rPr>
                <w:sz w:val="14"/>
                <w:szCs w:val="14"/>
              </w:rPr>
              <w:t>-</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0795AF5"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AA33C66" w14:textId="77777777" w:rsidR="00855241" w:rsidRDefault="00855241" w:rsidP="00B73FFA">
            <w:pPr>
              <w:pStyle w:val="TableTextStocktake"/>
              <w:jc w:val="center"/>
            </w:pPr>
            <w:r>
              <w:rPr>
                <w:sz w:val="14"/>
                <w:szCs w:val="14"/>
              </w:rPr>
              <w:t>-</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50F543"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DDEDE0" w14:textId="77777777" w:rsidR="00855241" w:rsidRDefault="00855241" w:rsidP="00B73FFA">
            <w:pPr>
              <w:pStyle w:val="TableTextStocktake"/>
              <w:jc w:val="center"/>
            </w:pPr>
            <w:r>
              <w:rPr>
                <w:sz w:val="14"/>
                <w:szCs w:val="14"/>
              </w:rPr>
              <w:t>-</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3FB5862" w14:textId="77777777" w:rsidR="00855241" w:rsidRDefault="00855241" w:rsidP="00B73FFA">
            <w:pPr>
              <w:pStyle w:val="TableTextStocktake"/>
              <w:jc w:val="center"/>
            </w:pPr>
            <w:r>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C7A6F4F" w14:textId="77777777" w:rsidR="00855241" w:rsidRDefault="00855241" w:rsidP="00B73FFA">
            <w:pPr>
              <w:pStyle w:val="TableTextStocktake"/>
              <w:jc w:val="center"/>
            </w:pPr>
            <w:r>
              <w:rPr>
                <w:sz w:val="14"/>
                <w:szCs w:val="14"/>
              </w:rPr>
              <w:t>-</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00CFD06" w14:textId="77777777" w:rsidR="00855241" w:rsidRDefault="00855241" w:rsidP="00B73FFA">
            <w:pPr>
              <w:pStyle w:val="TableTextStocktake"/>
              <w:jc w:val="center"/>
            </w:pPr>
            <w:r>
              <w:rPr>
                <w:sz w:val="14"/>
                <w:szCs w:val="14"/>
              </w:rPr>
              <w:t>-</w:t>
            </w:r>
          </w:p>
        </w:tc>
      </w:tr>
      <w:tr w:rsidR="00855241" w:rsidRPr="001772B0" w14:paraId="4A14B39C"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7B139BC" w14:textId="77777777" w:rsidR="00855241" w:rsidRDefault="00855241" w:rsidP="00B73FFA">
            <w:pPr>
              <w:pStyle w:val="TableTextStocktake"/>
            </w:pPr>
            <w:r>
              <w:rPr>
                <w:sz w:val="14"/>
                <w:szCs w:val="14"/>
              </w:rPr>
              <w:t xml:space="preserve">   Southern (ARMB)</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6500DBA7" w14:textId="77777777" w:rsidR="00855241" w:rsidRDefault="00855241" w:rsidP="00B73FFA">
            <w:pPr>
              <w:pStyle w:val="TableTextStocktake"/>
            </w:pPr>
            <w:r>
              <w:rPr>
                <w:sz w:val="14"/>
                <w:szCs w:val="14"/>
              </w:rPr>
              <w:t>Non-LGA</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CF78755" w14:textId="77777777" w:rsidR="00855241" w:rsidRDefault="00855241" w:rsidP="00B73FFA">
            <w:pPr>
              <w:pStyle w:val="TableTextStocktake"/>
              <w:jc w:val="center"/>
            </w:pPr>
            <w:r>
              <w:rPr>
                <w:sz w:val="14"/>
                <w:szCs w:val="14"/>
              </w:rPr>
              <w:t>-</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0FB6C5" w14:textId="77777777" w:rsidR="00855241" w:rsidRDefault="00855241" w:rsidP="00B73FFA">
            <w:pPr>
              <w:pStyle w:val="TableTextStocktake"/>
              <w:jc w:val="center"/>
            </w:pPr>
            <w:r>
              <w:rPr>
                <w:sz w:val="14"/>
                <w:szCs w:val="14"/>
              </w:rPr>
              <w:t>-</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E39D2D" w14:textId="77777777" w:rsidR="00855241" w:rsidRDefault="00855241" w:rsidP="00B73FFA">
            <w:pPr>
              <w:pStyle w:val="TableTextStocktake"/>
              <w:jc w:val="center"/>
            </w:pPr>
            <w:r>
              <w:rPr>
                <w:sz w:val="14"/>
                <w:szCs w:val="14"/>
              </w:rPr>
              <w:t>-</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F1199B1" w14:textId="77777777" w:rsidR="00855241" w:rsidRDefault="00855241" w:rsidP="00B73FFA">
            <w:pPr>
              <w:pStyle w:val="TableTextStocktake"/>
              <w:jc w:val="center"/>
            </w:pPr>
            <w:r>
              <w:rPr>
                <w:sz w:val="14"/>
                <w:szCs w:val="14"/>
              </w:rPr>
              <w:t>-</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1420D0B"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DFB2E7F" w14:textId="77777777" w:rsidR="00855241" w:rsidRDefault="00855241" w:rsidP="00B73FFA">
            <w:pPr>
              <w:pStyle w:val="TableTextStocktake"/>
              <w:jc w:val="center"/>
            </w:pPr>
            <w:r>
              <w:rPr>
                <w:sz w:val="14"/>
                <w:szCs w:val="14"/>
              </w:rPr>
              <w:t>-</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8338D43"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CBF15FB" w14:textId="77777777" w:rsidR="00855241" w:rsidRDefault="00855241" w:rsidP="00B73FFA">
            <w:pPr>
              <w:pStyle w:val="TableTextStocktake"/>
              <w:jc w:val="center"/>
            </w:pPr>
            <w:r>
              <w:rPr>
                <w:sz w:val="14"/>
                <w:szCs w:val="14"/>
              </w:rPr>
              <w:t>-</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9BB4BCC" w14:textId="77777777" w:rsidR="00855241" w:rsidRDefault="00855241" w:rsidP="00B73FFA">
            <w:pPr>
              <w:pStyle w:val="TableTextStocktake"/>
              <w:jc w:val="center"/>
            </w:pPr>
            <w:r>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157B6A3" w14:textId="77777777" w:rsidR="00855241" w:rsidRDefault="00855241" w:rsidP="00B73FFA">
            <w:pPr>
              <w:pStyle w:val="TableTextStocktake"/>
              <w:jc w:val="center"/>
            </w:pPr>
            <w:r>
              <w:rPr>
                <w:sz w:val="14"/>
                <w:szCs w:val="14"/>
              </w:rPr>
              <w:t>-</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D0669C7" w14:textId="77777777" w:rsidR="00855241" w:rsidRDefault="00855241" w:rsidP="00B73FFA">
            <w:pPr>
              <w:pStyle w:val="TableTextStocktake"/>
              <w:jc w:val="center"/>
            </w:pPr>
            <w:r>
              <w:rPr>
                <w:sz w:val="14"/>
                <w:szCs w:val="14"/>
              </w:rPr>
              <w:t>-</w:t>
            </w:r>
          </w:p>
        </w:tc>
      </w:tr>
      <w:tr w:rsidR="00855241" w:rsidRPr="001772B0" w14:paraId="010B0315"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73B49FB" w14:textId="77777777" w:rsidR="00855241" w:rsidRDefault="00855241" w:rsidP="00B73FFA">
            <w:pPr>
              <w:pStyle w:val="TableTextStocktake"/>
            </w:pPr>
            <w:r>
              <w:rPr>
                <w:sz w:val="14"/>
                <w:szCs w:val="14"/>
              </w:rPr>
              <w:t>French Island and Sandstone Island</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5891E1A6" w14:textId="77777777" w:rsidR="00855241" w:rsidRDefault="00855241" w:rsidP="00B73FFA">
            <w:pPr>
              <w:pStyle w:val="TableTextStocktake"/>
            </w:pPr>
            <w:r>
              <w:rPr>
                <w:sz w:val="14"/>
                <w:szCs w:val="14"/>
              </w:rPr>
              <w:t>Non-LGA</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6F8A715F" w14:textId="77777777" w:rsidR="00855241" w:rsidRDefault="00855241" w:rsidP="00B73FFA">
            <w:pPr>
              <w:pStyle w:val="TableTextStocktake"/>
              <w:jc w:val="center"/>
            </w:pPr>
            <w:r>
              <w:rPr>
                <w:sz w:val="14"/>
                <w:szCs w:val="14"/>
              </w:rPr>
              <w:t>-</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D2C4213" w14:textId="77777777" w:rsidR="00855241" w:rsidRDefault="00855241" w:rsidP="00B73FFA">
            <w:pPr>
              <w:pStyle w:val="TableTextStocktake"/>
              <w:jc w:val="center"/>
            </w:pPr>
            <w:r>
              <w:rPr>
                <w:sz w:val="14"/>
                <w:szCs w:val="14"/>
              </w:rPr>
              <w:t>-</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5EF906C" w14:textId="77777777" w:rsidR="00855241" w:rsidRDefault="00855241" w:rsidP="00B73FFA">
            <w:pPr>
              <w:pStyle w:val="TableTextStocktake"/>
              <w:jc w:val="center"/>
            </w:pPr>
            <w:r>
              <w:rPr>
                <w:sz w:val="14"/>
                <w:szCs w:val="14"/>
              </w:rPr>
              <w:t>-</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22843795" w14:textId="77777777" w:rsidR="00855241" w:rsidRDefault="00855241" w:rsidP="00B73FFA">
            <w:pPr>
              <w:pStyle w:val="TableTextStocktake"/>
              <w:jc w:val="center"/>
            </w:pPr>
            <w:r>
              <w:rPr>
                <w:sz w:val="14"/>
                <w:szCs w:val="14"/>
              </w:rPr>
              <w:t>-</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5551962"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CBB9EAA" w14:textId="77777777" w:rsidR="00855241" w:rsidRDefault="00855241" w:rsidP="00B73FFA">
            <w:pPr>
              <w:pStyle w:val="TableTextStocktake"/>
              <w:jc w:val="center"/>
            </w:pPr>
            <w:r>
              <w:rPr>
                <w:sz w:val="14"/>
                <w:szCs w:val="14"/>
              </w:rPr>
              <w:t>-</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4C2C655"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6F3F9E57" w14:textId="77777777" w:rsidR="00855241" w:rsidRDefault="00855241" w:rsidP="00B73FFA">
            <w:pPr>
              <w:pStyle w:val="TableTextStocktake"/>
              <w:jc w:val="center"/>
            </w:pPr>
            <w:r>
              <w:rPr>
                <w:sz w:val="14"/>
                <w:szCs w:val="14"/>
              </w:rPr>
              <w:t>-</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6AA6C5C" w14:textId="77777777" w:rsidR="00855241" w:rsidRDefault="00855241" w:rsidP="00B73FFA">
            <w:pPr>
              <w:pStyle w:val="TableTextStocktake"/>
              <w:jc w:val="center"/>
            </w:pPr>
            <w:r>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30BEFE6" w14:textId="77777777" w:rsidR="00855241" w:rsidRDefault="00855241" w:rsidP="00B73FFA">
            <w:pPr>
              <w:pStyle w:val="TableTextStocktake"/>
              <w:jc w:val="center"/>
            </w:pPr>
            <w:r>
              <w:rPr>
                <w:sz w:val="14"/>
                <w:szCs w:val="14"/>
              </w:rPr>
              <w:t>-</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BFF025F" w14:textId="77777777" w:rsidR="00855241" w:rsidRDefault="00855241" w:rsidP="00B73FFA">
            <w:pPr>
              <w:pStyle w:val="TableTextStocktake"/>
              <w:jc w:val="center"/>
            </w:pPr>
            <w:r>
              <w:rPr>
                <w:sz w:val="14"/>
                <w:szCs w:val="14"/>
              </w:rPr>
              <w:t>-</w:t>
            </w:r>
          </w:p>
        </w:tc>
      </w:tr>
      <w:tr w:rsidR="00855241" w:rsidRPr="001772B0" w14:paraId="7E25E2DB" w14:textId="77777777" w:rsidTr="00073CE4">
        <w:trPr>
          <w:trHeight w:val="60"/>
        </w:trPr>
        <w:tc>
          <w:tcPr>
            <w:tcW w:w="219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E81FDE5" w14:textId="77777777" w:rsidR="00855241" w:rsidRDefault="00855241" w:rsidP="00B73FFA">
            <w:pPr>
              <w:pStyle w:val="TableTextStocktake"/>
            </w:pPr>
            <w:r>
              <w:rPr>
                <w:sz w:val="14"/>
                <w:szCs w:val="14"/>
              </w:rPr>
              <w:t>Port of Melbourne</w:t>
            </w:r>
          </w:p>
        </w:tc>
        <w:tc>
          <w:tcPr>
            <w:tcW w:w="1447" w:type="dxa"/>
            <w:tcBorders>
              <w:top w:val="single" w:sz="2" w:space="0" w:color="000000"/>
              <w:left w:val="single" w:sz="6" w:space="0" w:color="000000"/>
              <w:bottom w:val="single" w:sz="2" w:space="0" w:color="000000"/>
              <w:right w:val="single" w:sz="6" w:space="0" w:color="7BCCC4"/>
            </w:tcBorders>
            <w:tcMar>
              <w:top w:w="23" w:type="dxa"/>
              <w:left w:w="80" w:type="dxa"/>
              <w:bottom w:w="37" w:type="dxa"/>
              <w:right w:w="80" w:type="dxa"/>
            </w:tcMar>
          </w:tcPr>
          <w:p w14:paraId="7BF5F5AF" w14:textId="77777777" w:rsidR="00855241" w:rsidRDefault="00855241" w:rsidP="00B73FFA">
            <w:pPr>
              <w:pStyle w:val="TableTextStocktake"/>
            </w:pPr>
            <w:r>
              <w:rPr>
                <w:sz w:val="14"/>
                <w:szCs w:val="14"/>
              </w:rPr>
              <w:t>Non-LGA</w:t>
            </w:r>
          </w:p>
        </w:tc>
        <w:tc>
          <w:tcPr>
            <w:tcW w:w="652" w:type="dxa"/>
            <w:tcBorders>
              <w:top w:val="single" w:sz="2" w:space="0" w:color="000000"/>
              <w:left w:val="single" w:sz="6" w:space="0" w:color="7BCCC4"/>
              <w:bottom w:val="single" w:sz="2" w:space="0" w:color="000000"/>
              <w:right w:val="single" w:sz="6" w:space="0" w:color="000000"/>
            </w:tcBorders>
            <w:tcMar>
              <w:top w:w="23" w:type="dxa"/>
              <w:left w:w="80" w:type="dxa"/>
              <w:bottom w:w="37" w:type="dxa"/>
              <w:right w:w="80" w:type="dxa"/>
            </w:tcMar>
          </w:tcPr>
          <w:p w14:paraId="25DF2875" w14:textId="77777777" w:rsidR="00855241" w:rsidRDefault="00855241" w:rsidP="00B73FFA">
            <w:pPr>
              <w:pStyle w:val="TableTextStocktake"/>
              <w:jc w:val="center"/>
            </w:pPr>
            <w:r>
              <w:rPr>
                <w:sz w:val="14"/>
                <w:szCs w:val="14"/>
              </w:rPr>
              <w:t>-</w:t>
            </w:r>
          </w:p>
        </w:tc>
        <w:tc>
          <w:tcPr>
            <w:tcW w:w="691"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D1FE5B2" w14:textId="77777777" w:rsidR="00855241" w:rsidRDefault="00855241" w:rsidP="00B73FFA">
            <w:pPr>
              <w:pStyle w:val="TableTextStocktake"/>
              <w:jc w:val="center"/>
            </w:pPr>
            <w:r>
              <w:rPr>
                <w:sz w:val="14"/>
                <w:szCs w:val="14"/>
              </w:rPr>
              <w:t>-</w:t>
            </w:r>
          </w:p>
        </w:tc>
        <w:tc>
          <w:tcPr>
            <w:tcW w:w="708"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4BBBCBA9" w14:textId="77777777" w:rsidR="00855241" w:rsidRDefault="00855241" w:rsidP="00B73FFA">
            <w:pPr>
              <w:pStyle w:val="TableTextStocktake"/>
              <w:jc w:val="center"/>
            </w:pPr>
            <w:r>
              <w:rPr>
                <w:sz w:val="14"/>
                <w:szCs w:val="14"/>
              </w:rPr>
              <w:t>-</w:t>
            </w:r>
          </w:p>
        </w:tc>
        <w:tc>
          <w:tcPr>
            <w:tcW w:w="567"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7E80DEBE" w14:textId="77777777" w:rsidR="00855241" w:rsidRDefault="00855241" w:rsidP="00B73FFA">
            <w:pPr>
              <w:pStyle w:val="TableTextStocktake"/>
              <w:jc w:val="center"/>
            </w:pPr>
            <w:r>
              <w:rPr>
                <w:sz w:val="14"/>
                <w:szCs w:val="14"/>
              </w:rPr>
              <w:t>-</w:t>
            </w:r>
          </w:p>
        </w:tc>
        <w:tc>
          <w:tcPr>
            <w:tcW w:w="42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0EE22C0"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AB7DFD0" w14:textId="77777777" w:rsidR="00855241" w:rsidRDefault="00855241" w:rsidP="00B73FFA">
            <w:pPr>
              <w:pStyle w:val="TableTextStocktake"/>
              <w:jc w:val="center"/>
            </w:pPr>
            <w:r>
              <w:rPr>
                <w:sz w:val="14"/>
                <w:szCs w:val="14"/>
              </w:rPr>
              <w:t>-</w:t>
            </w:r>
          </w:p>
        </w:tc>
        <w:tc>
          <w:tcPr>
            <w:tcW w:w="425"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B121404" w14:textId="77777777" w:rsidR="00855241" w:rsidRDefault="00855241" w:rsidP="00B73FFA">
            <w:pPr>
              <w:pStyle w:val="TableTextStocktake"/>
              <w:jc w:val="center"/>
            </w:pPr>
            <w:r>
              <w:rPr>
                <w:sz w:val="14"/>
                <w:szCs w:val="14"/>
              </w:rPr>
              <w:t>-</w:t>
            </w:r>
          </w:p>
        </w:tc>
        <w:tc>
          <w:tcPr>
            <w:tcW w:w="567" w:type="dxa"/>
            <w:gridSpan w:val="2"/>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3F96B50B" w14:textId="77777777" w:rsidR="00855241" w:rsidRDefault="00855241" w:rsidP="00B73FFA">
            <w:pPr>
              <w:pStyle w:val="TableTextStocktake"/>
              <w:jc w:val="center"/>
            </w:pPr>
            <w:r>
              <w:rPr>
                <w:sz w:val="14"/>
                <w:szCs w:val="14"/>
              </w:rPr>
              <w:t>-</w:t>
            </w:r>
          </w:p>
        </w:tc>
        <w:tc>
          <w:tcPr>
            <w:tcW w:w="686"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13AC4DCD" w14:textId="77777777" w:rsidR="00855241" w:rsidRDefault="00855241" w:rsidP="00B73FFA">
            <w:pPr>
              <w:pStyle w:val="TableTextStocktake"/>
              <w:jc w:val="center"/>
            </w:pPr>
            <w:r>
              <w:rPr>
                <w:sz w:val="14"/>
                <w:szCs w:val="14"/>
              </w:rPr>
              <w:t>-</w:t>
            </w:r>
          </w:p>
        </w:tc>
        <w:tc>
          <w:tcPr>
            <w:tcW w:w="850"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54316D0A" w14:textId="77777777" w:rsidR="00855241" w:rsidRDefault="00855241" w:rsidP="00B73FFA">
            <w:pPr>
              <w:pStyle w:val="TableTextStocktake"/>
              <w:jc w:val="center"/>
            </w:pPr>
            <w:r>
              <w:rPr>
                <w:sz w:val="14"/>
                <w:szCs w:val="14"/>
              </w:rPr>
              <w:t>-</w:t>
            </w:r>
          </w:p>
        </w:tc>
        <w:tc>
          <w:tcPr>
            <w:tcW w:w="709" w:type="dxa"/>
            <w:tcBorders>
              <w:top w:val="single" w:sz="2" w:space="0" w:color="000000"/>
              <w:left w:val="single" w:sz="6" w:space="0" w:color="000000"/>
              <w:bottom w:val="single" w:sz="2" w:space="0" w:color="000000"/>
              <w:right w:val="single" w:sz="6" w:space="0" w:color="000000"/>
            </w:tcBorders>
            <w:tcMar>
              <w:top w:w="23" w:type="dxa"/>
              <w:left w:w="80" w:type="dxa"/>
              <w:bottom w:w="37" w:type="dxa"/>
              <w:right w:w="80" w:type="dxa"/>
            </w:tcMar>
          </w:tcPr>
          <w:p w14:paraId="073101FC" w14:textId="77777777" w:rsidR="00855241" w:rsidRDefault="00855241" w:rsidP="00B73FFA">
            <w:pPr>
              <w:pStyle w:val="TableTextStocktake"/>
              <w:jc w:val="center"/>
            </w:pPr>
            <w:r>
              <w:rPr>
                <w:sz w:val="14"/>
                <w:szCs w:val="14"/>
              </w:rPr>
              <w:t>-</w:t>
            </w:r>
          </w:p>
        </w:tc>
      </w:tr>
    </w:tbl>
    <w:p w14:paraId="0E7CE240" w14:textId="77777777" w:rsidR="00BC5284" w:rsidRDefault="00BC5284">
      <w:pPr>
        <w:pStyle w:val="BasicParagraph"/>
      </w:pPr>
    </w:p>
    <w:p w14:paraId="680059EF" w14:textId="77777777" w:rsidR="00BC5284" w:rsidRDefault="00855241">
      <w:pPr>
        <w:pStyle w:val="ChapterHeading"/>
        <w:rPr>
          <w:color w:val="000000"/>
        </w:rPr>
      </w:pPr>
      <w:r>
        <w:rPr>
          <w:color w:val="000000"/>
        </w:rPr>
        <w:br w:type="page"/>
      </w:r>
      <w:r w:rsidR="00BC5284">
        <w:rPr>
          <w:color w:val="000000"/>
        </w:rPr>
        <w:lastRenderedPageBreak/>
        <w:t>Acknowledgements</w:t>
      </w:r>
    </w:p>
    <w:p w14:paraId="708717DD" w14:textId="77777777" w:rsidR="00BC5284" w:rsidRDefault="00BC5284">
      <w:pPr>
        <w:pStyle w:val="Text"/>
      </w:pPr>
      <w:r>
        <w:t>Many people and organisations contributed to this Review. We would like to thank all 79 Victorian councils and the Mt Buller and Mt Stirling ARMB for their participation throughout the Review process, but in particular for their thoughtful responses to the council survey. We would also like to thank Australia ICOMOS and the Royal Historical Society of Victoria Inc. for distributing the community survey to their members and affiliated societies and to those members and individuals who sent through their responses.</w:t>
      </w:r>
    </w:p>
    <w:p w14:paraId="09AB64A9" w14:textId="77777777" w:rsidR="00BC5284" w:rsidRDefault="00BC5284">
      <w:pPr>
        <w:pStyle w:val="Text"/>
      </w:pPr>
      <w:r>
        <w:t xml:space="preserve">An additional thank you is extended to representatives from the following organisations for their participation in the workshops in Melbourne, Ballarat and Traralgon and/or for providing their insights in focused interviews for the case studies and the analysis of interstate heritage systems and programs: </w:t>
      </w:r>
    </w:p>
    <w:p w14:paraId="0F41661D" w14:textId="77777777" w:rsidR="00855241" w:rsidRDefault="00855241" w:rsidP="00855241">
      <w:pPr>
        <w:pStyle w:val="Text-lessspaceafter"/>
      </w:pPr>
      <w:r>
        <w:t>Anita Brady Heritage</w:t>
      </w:r>
    </w:p>
    <w:p w14:paraId="5AF71B49" w14:textId="77777777" w:rsidR="00855241" w:rsidRDefault="00855241" w:rsidP="00855241">
      <w:pPr>
        <w:pStyle w:val="Text-lessspaceafter"/>
      </w:pPr>
      <w:r>
        <w:t>Ballarat City Council</w:t>
      </w:r>
    </w:p>
    <w:p w14:paraId="54DE9490" w14:textId="77777777" w:rsidR="00855241" w:rsidRDefault="00855241" w:rsidP="00855241">
      <w:pPr>
        <w:pStyle w:val="Text-lessspaceafter"/>
      </w:pPr>
      <w:r>
        <w:t>Banyule City Council</w:t>
      </w:r>
    </w:p>
    <w:p w14:paraId="79F6385E" w14:textId="77777777" w:rsidR="00855241" w:rsidRDefault="00855241" w:rsidP="00855241">
      <w:pPr>
        <w:pStyle w:val="Text-lessspaceafter"/>
      </w:pPr>
      <w:r>
        <w:t>Bass Coast Shire Council</w:t>
      </w:r>
    </w:p>
    <w:p w14:paraId="75DD691A" w14:textId="77777777" w:rsidR="00855241" w:rsidRDefault="00855241" w:rsidP="00855241">
      <w:pPr>
        <w:pStyle w:val="Text-lessspaceafter"/>
      </w:pPr>
      <w:r>
        <w:t>Bayside City Council</w:t>
      </w:r>
    </w:p>
    <w:p w14:paraId="4A160D7F" w14:textId="77777777" w:rsidR="00855241" w:rsidRDefault="00855241" w:rsidP="00855241">
      <w:pPr>
        <w:pStyle w:val="Text-lessspaceafter"/>
      </w:pPr>
      <w:r>
        <w:t>Boroondara City Council</w:t>
      </w:r>
    </w:p>
    <w:p w14:paraId="4B108F23" w14:textId="77777777" w:rsidR="00855241" w:rsidRDefault="00855241" w:rsidP="00855241">
      <w:pPr>
        <w:pStyle w:val="Text-lessspaceafter"/>
      </w:pPr>
      <w:r>
        <w:t>Bryce Raworth Conservation &amp; Heritage</w:t>
      </w:r>
    </w:p>
    <w:p w14:paraId="55500EED" w14:textId="77777777" w:rsidR="00855241" w:rsidRDefault="00855241" w:rsidP="00855241">
      <w:pPr>
        <w:pStyle w:val="Text-lessspaceafter"/>
      </w:pPr>
      <w:r>
        <w:t>Cardinia Shire Council</w:t>
      </w:r>
    </w:p>
    <w:p w14:paraId="7B59726F" w14:textId="77777777" w:rsidR="00855241" w:rsidRDefault="00855241" w:rsidP="00855241">
      <w:pPr>
        <w:pStyle w:val="Text-lessspaceafter"/>
      </w:pPr>
      <w:r>
        <w:t>Casey City Council</w:t>
      </w:r>
    </w:p>
    <w:p w14:paraId="31881272" w14:textId="77777777" w:rsidR="00855241" w:rsidRDefault="00855241" w:rsidP="00855241">
      <w:pPr>
        <w:pStyle w:val="Text-lessspaceafter"/>
      </w:pPr>
      <w:r>
        <w:t>David Helms Heritage Planning</w:t>
      </w:r>
    </w:p>
    <w:p w14:paraId="4C387EA6" w14:textId="77777777" w:rsidR="00855241" w:rsidRDefault="00855241" w:rsidP="00855241">
      <w:pPr>
        <w:pStyle w:val="Text-lessspaceafter"/>
      </w:pPr>
      <w:r>
        <w:t>DELWP – Planning Services</w:t>
      </w:r>
    </w:p>
    <w:p w14:paraId="2E5F7AFA" w14:textId="77777777" w:rsidR="00855241" w:rsidRDefault="00855241" w:rsidP="00855241">
      <w:pPr>
        <w:pStyle w:val="Text-lessspaceafter"/>
      </w:pPr>
      <w:r>
        <w:t>East Gippsland Shire Council</w:t>
      </w:r>
    </w:p>
    <w:p w14:paraId="1FFD860A" w14:textId="77777777" w:rsidR="00855241" w:rsidRDefault="00855241" w:rsidP="00855241">
      <w:pPr>
        <w:pStyle w:val="Text-lessspaceafter"/>
      </w:pPr>
      <w:r>
        <w:t>Frankston City Council</w:t>
      </w:r>
    </w:p>
    <w:p w14:paraId="5C0BF078" w14:textId="77777777" w:rsidR="00855241" w:rsidRDefault="00855241" w:rsidP="00855241">
      <w:pPr>
        <w:pStyle w:val="Text-lessspaceafter"/>
      </w:pPr>
      <w:r>
        <w:t>GJM Heritage</w:t>
      </w:r>
    </w:p>
    <w:p w14:paraId="51150655" w14:textId="77777777" w:rsidR="00855241" w:rsidRDefault="00855241" w:rsidP="00855241">
      <w:pPr>
        <w:pStyle w:val="Text-lessspaceafter"/>
      </w:pPr>
      <w:r>
        <w:t>Glen Eira City Council</w:t>
      </w:r>
    </w:p>
    <w:p w14:paraId="2EA0C372" w14:textId="77777777" w:rsidR="00855241" w:rsidRDefault="00855241" w:rsidP="00855241">
      <w:pPr>
        <w:pStyle w:val="Text-lessspaceafter"/>
      </w:pPr>
      <w:r>
        <w:t>Glenelg Shire Council</w:t>
      </w:r>
    </w:p>
    <w:p w14:paraId="6876BAB6" w14:textId="77777777" w:rsidR="00855241" w:rsidRDefault="00855241" w:rsidP="00855241">
      <w:pPr>
        <w:pStyle w:val="Text-lessspaceafter"/>
      </w:pPr>
      <w:r>
        <w:t>Greater Bendigo City Council</w:t>
      </w:r>
    </w:p>
    <w:p w14:paraId="2DE5D134" w14:textId="77777777" w:rsidR="00855241" w:rsidRDefault="00855241" w:rsidP="00855241">
      <w:pPr>
        <w:pStyle w:val="Text-lessspaceafter"/>
      </w:pPr>
      <w:r>
        <w:t>Greater Geelong City Council</w:t>
      </w:r>
    </w:p>
    <w:p w14:paraId="64977FBF" w14:textId="77777777" w:rsidR="00855241" w:rsidRDefault="00855241" w:rsidP="00855241">
      <w:pPr>
        <w:pStyle w:val="Text-lessspaceafter"/>
      </w:pPr>
      <w:r>
        <w:t xml:space="preserve">Greater Shepparton City Council </w:t>
      </w:r>
    </w:p>
    <w:p w14:paraId="230CA3A5" w14:textId="77777777" w:rsidR="00855241" w:rsidRDefault="00855241" w:rsidP="00855241">
      <w:pPr>
        <w:pStyle w:val="Text-lessspaceafter"/>
      </w:pPr>
      <w:r>
        <w:t>Heritage Alliance</w:t>
      </w:r>
    </w:p>
    <w:p w14:paraId="36EEC1F1" w14:textId="77777777" w:rsidR="00855241" w:rsidRDefault="00855241" w:rsidP="00855241">
      <w:pPr>
        <w:pStyle w:val="Text-lessspaceafter"/>
      </w:pPr>
      <w:r>
        <w:t>Heritage Council of Victoria</w:t>
      </w:r>
    </w:p>
    <w:p w14:paraId="0092FB98" w14:textId="77777777" w:rsidR="00855241" w:rsidRDefault="00855241" w:rsidP="00855241">
      <w:pPr>
        <w:pStyle w:val="Text-lessspaceafter"/>
      </w:pPr>
      <w:r>
        <w:t>Heritage New South Wales</w:t>
      </w:r>
    </w:p>
    <w:p w14:paraId="21CA9CCF" w14:textId="77777777" w:rsidR="00855241" w:rsidRDefault="00855241" w:rsidP="00855241">
      <w:pPr>
        <w:pStyle w:val="Text-lessspaceafter"/>
      </w:pPr>
      <w:r>
        <w:t>Heritage Tasmania</w:t>
      </w:r>
    </w:p>
    <w:p w14:paraId="74EE7994" w14:textId="77777777" w:rsidR="00855241" w:rsidRDefault="00855241" w:rsidP="00855241">
      <w:pPr>
        <w:pStyle w:val="Text-lessspaceafter"/>
      </w:pPr>
      <w:r>
        <w:t>Heritage Victoria</w:t>
      </w:r>
    </w:p>
    <w:p w14:paraId="7BBB19F0" w14:textId="77777777" w:rsidR="00855241" w:rsidRDefault="00855241" w:rsidP="00855241">
      <w:pPr>
        <w:pStyle w:val="Text-lessspaceafter"/>
      </w:pPr>
      <w:r>
        <w:t xml:space="preserve">History Making </w:t>
      </w:r>
    </w:p>
    <w:p w14:paraId="53DEF576" w14:textId="77777777" w:rsidR="00855241" w:rsidRDefault="00855241" w:rsidP="00855241">
      <w:pPr>
        <w:pStyle w:val="Text-lessspaceafter"/>
      </w:pPr>
      <w:r>
        <w:t>Hobsons Bay City Council</w:t>
      </w:r>
    </w:p>
    <w:p w14:paraId="2B7B91A6" w14:textId="77777777" w:rsidR="00855241" w:rsidRDefault="00855241" w:rsidP="00855241">
      <w:pPr>
        <w:pStyle w:val="Text-lessspaceafter"/>
      </w:pPr>
      <w:r>
        <w:t>Hume City Council</w:t>
      </w:r>
    </w:p>
    <w:p w14:paraId="3E8F68B8" w14:textId="77777777" w:rsidR="00855241" w:rsidRDefault="00855241" w:rsidP="00855241">
      <w:pPr>
        <w:pStyle w:val="Text-lessspaceafter"/>
      </w:pPr>
      <w:r>
        <w:t>Indigo Shire Council</w:t>
      </w:r>
    </w:p>
    <w:p w14:paraId="1EB12566" w14:textId="77777777" w:rsidR="00855241" w:rsidRDefault="00855241" w:rsidP="00855241">
      <w:pPr>
        <w:pStyle w:val="Text-lessspaceafter"/>
      </w:pPr>
      <w:r>
        <w:t>Latrobe City Council</w:t>
      </w:r>
    </w:p>
    <w:p w14:paraId="0CF489A2" w14:textId="77777777" w:rsidR="00855241" w:rsidRDefault="00855241" w:rsidP="00855241">
      <w:pPr>
        <w:pStyle w:val="Text-lessspaceafter"/>
      </w:pPr>
      <w:r>
        <w:t>Lovell Chen</w:t>
      </w:r>
    </w:p>
    <w:p w14:paraId="1C50BB95" w14:textId="77777777" w:rsidR="00855241" w:rsidRDefault="00855241" w:rsidP="00855241">
      <w:pPr>
        <w:pStyle w:val="Text-lessspaceafter"/>
      </w:pPr>
      <w:r>
        <w:t>Macedon Ranges Shire Council</w:t>
      </w:r>
    </w:p>
    <w:p w14:paraId="603911A7" w14:textId="77777777" w:rsidR="00855241" w:rsidRDefault="00855241" w:rsidP="00855241">
      <w:pPr>
        <w:pStyle w:val="Text-lessspaceafter"/>
      </w:pPr>
      <w:r>
        <w:t>Maribyrnong City Council</w:t>
      </w:r>
    </w:p>
    <w:p w14:paraId="08671B4C" w14:textId="77777777" w:rsidR="00855241" w:rsidRDefault="00855241" w:rsidP="00855241">
      <w:pPr>
        <w:pStyle w:val="Text-lessspaceafter"/>
      </w:pPr>
      <w:r>
        <w:t>Maroondah City Council</w:t>
      </w:r>
    </w:p>
    <w:p w14:paraId="768EEE19" w14:textId="77777777" w:rsidR="00855241" w:rsidRDefault="00855241" w:rsidP="00855241">
      <w:pPr>
        <w:pStyle w:val="Text-lessspaceafter"/>
      </w:pPr>
      <w:r>
        <w:t>Melbourne City Council</w:t>
      </w:r>
    </w:p>
    <w:p w14:paraId="64513DD3" w14:textId="77777777" w:rsidR="00855241" w:rsidRDefault="00855241" w:rsidP="00855241">
      <w:pPr>
        <w:pStyle w:val="Text-lessspaceafter"/>
      </w:pPr>
      <w:r>
        <w:t>Melton City Council</w:t>
      </w:r>
    </w:p>
    <w:p w14:paraId="1BBDB487" w14:textId="77777777" w:rsidR="00855241" w:rsidRDefault="00855241" w:rsidP="00855241">
      <w:pPr>
        <w:pStyle w:val="Text-lessspaceafter"/>
      </w:pPr>
      <w:r>
        <w:t xml:space="preserve">Mitchell Shire Council  </w:t>
      </w:r>
    </w:p>
    <w:p w14:paraId="57C34F98" w14:textId="77777777" w:rsidR="00855241" w:rsidRDefault="00855241" w:rsidP="00855241">
      <w:pPr>
        <w:pStyle w:val="Text-lessspaceafter"/>
      </w:pPr>
      <w:r>
        <w:lastRenderedPageBreak/>
        <w:t>Monash City Council</w:t>
      </w:r>
    </w:p>
    <w:p w14:paraId="7AD16F07" w14:textId="77777777" w:rsidR="00855241" w:rsidRDefault="00855241" w:rsidP="00855241">
      <w:pPr>
        <w:pStyle w:val="Text-lessspaceafter"/>
      </w:pPr>
      <w:r>
        <w:t>Moonee Valley City Council</w:t>
      </w:r>
    </w:p>
    <w:p w14:paraId="4F9D6690" w14:textId="77777777" w:rsidR="00855241" w:rsidRDefault="00855241" w:rsidP="00855241">
      <w:pPr>
        <w:pStyle w:val="Text-lessspaceafter"/>
      </w:pPr>
      <w:r>
        <w:t xml:space="preserve">Moorabool Shire Council </w:t>
      </w:r>
    </w:p>
    <w:p w14:paraId="64748870" w14:textId="77777777" w:rsidR="00855241" w:rsidRDefault="00855241" w:rsidP="00855241">
      <w:pPr>
        <w:pStyle w:val="Text-lessspaceafter"/>
      </w:pPr>
      <w:r>
        <w:t>Moreland City Council</w:t>
      </w:r>
    </w:p>
    <w:p w14:paraId="65A320A1" w14:textId="77777777" w:rsidR="00855241" w:rsidRDefault="00855241" w:rsidP="00855241">
      <w:pPr>
        <w:pStyle w:val="Text-lessspaceafter"/>
      </w:pPr>
      <w:r>
        <w:t>Mornington Peninsula Shire Council</w:t>
      </w:r>
    </w:p>
    <w:p w14:paraId="3E27A890" w14:textId="77777777" w:rsidR="00855241" w:rsidRDefault="00855241" w:rsidP="00855241">
      <w:pPr>
        <w:pStyle w:val="Text-lessspaceafter"/>
      </w:pPr>
      <w:r>
        <w:t>National Trust of Australia (Victoria)</w:t>
      </w:r>
    </w:p>
    <w:p w14:paraId="127A819E" w14:textId="77777777" w:rsidR="00855241" w:rsidRDefault="00855241" w:rsidP="00855241">
      <w:pPr>
        <w:pStyle w:val="Text-lessspaceafter"/>
      </w:pPr>
      <w:r>
        <w:t xml:space="preserve">Nillumbik Shire Council </w:t>
      </w:r>
    </w:p>
    <w:p w14:paraId="00CB540F" w14:textId="77777777" w:rsidR="00855241" w:rsidRDefault="00855241" w:rsidP="00855241">
      <w:pPr>
        <w:pStyle w:val="Text-lessspaceafter"/>
      </w:pPr>
      <w:r>
        <w:t>Northern Grampians Shire Council</w:t>
      </w:r>
    </w:p>
    <w:p w14:paraId="136465C5" w14:textId="77777777" w:rsidR="00855241" w:rsidRDefault="00855241" w:rsidP="00855241">
      <w:pPr>
        <w:pStyle w:val="Text-lessspaceafter"/>
      </w:pPr>
      <w:r>
        <w:t>Port Phillip City Council</w:t>
      </w:r>
    </w:p>
    <w:p w14:paraId="0DA0F164" w14:textId="77777777" w:rsidR="00855241" w:rsidRDefault="00855241" w:rsidP="00855241">
      <w:pPr>
        <w:pStyle w:val="Text-lessspaceafter"/>
      </w:pPr>
      <w:r>
        <w:t>Pyrenees Shire Council</w:t>
      </w:r>
    </w:p>
    <w:p w14:paraId="7259387E" w14:textId="77777777" w:rsidR="00855241" w:rsidRDefault="00855241" w:rsidP="00855241">
      <w:pPr>
        <w:pStyle w:val="Text-lessspaceafter"/>
      </w:pPr>
      <w:r>
        <w:t xml:space="preserve">Ray Tonkin, heritage consultant </w:t>
      </w:r>
    </w:p>
    <w:p w14:paraId="63D933F1" w14:textId="77777777" w:rsidR="00855241" w:rsidRDefault="00855241" w:rsidP="00855241">
      <w:pPr>
        <w:pStyle w:val="Text-lessspaceafter"/>
      </w:pPr>
      <w:r>
        <w:t>Royal Historical Society of Victoria Inc.</w:t>
      </w:r>
    </w:p>
    <w:p w14:paraId="1EAA9805" w14:textId="77777777" w:rsidR="00855241" w:rsidRDefault="00855241" w:rsidP="00855241">
      <w:pPr>
        <w:pStyle w:val="Text-lessspaceafter"/>
      </w:pPr>
      <w:r>
        <w:t>South Gippsland Shire Council</w:t>
      </w:r>
    </w:p>
    <w:p w14:paraId="1196A7C6" w14:textId="77777777" w:rsidR="00855241" w:rsidRDefault="00855241" w:rsidP="00855241">
      <w:pPr>
        <w:pStyle w:val="Text-lessspaceafter"/>
      </w:pPr>
      <w:r>
        <w:t>Southern Grampians Shire Council</w:t>
      </w:r>
    </w:p>
    <w:p w14:paraId="5BAF13FF" w14:textId="77777777" w:rsidR="00855241" w:rsidRDefault="00855241" w:rsidP="00855241">
      <w:pPr>
        <w:pStyle w:val="Text-lessspaceafter"/>
      </w:pPr>
      <w:r>
        <w:t>Towong Shire Council</w:t>
      </w:r>
    </w:p>
    <w:p w14:paraId="669EF8E6" w14:textId="77777777" w:rsidR="00855241" w:rsidRDefault="00855241" w:rsidP="00855241">
      <w:pPr>
        <w:pStyle w:val="Text-lessspaceafter"/>
      </w:pPr>
      <w:r>
        <w:t>Wangaratta Rural City Council</w:t>
      </w:r>
    </w:p>
    <w:p w14:paraId="7BBF7288" w14:textId="77777777" w:rsidR="00855241" w:rsidRDefault="00855241" w:rsidP="00855241">
      <w:pPr>
        <w:pStyle w:val="Text-lessspaceafter"/>
      </w:pPr>
      <w:r>
        <w:t>Wellington Shire Council</w:t>
      </w:r>
    </w:p>
    <w:p w14:paraId="7A99C995" w14:textId="77777777" w:rsidR="00855241" w:rsidRDefault="00855241" w:rsidP="00855241">
      <w:pPr>
        <w:pStyle w:val="Text-lessspaceafter"/>
      </w:pPr>
      <w:r>
        <w:t>Whitehorse City Council</w:t>
      </w:r>
    </w:p>
    <w:p w14:paraId="78D754D5" w14:textId="77777777" w:rsidR="00855241" w:rsidRDefault="00855241" w:rsidP="00855241">
      <w:pPr>
        <w:pStyle w:val="Text-lessspaceafter"/>
      </w:pPr>
      <w:r>
        <w:t>Whittlesea City Council</w:t>
      </w:r>
    </w:p>
    <w:p w14:paraId="77DE6B62" w14:textId="77777777" w:rsidR="00855241" w:rsidRDefault="00855241" w:rsidP="00855241">
      <w:pPr>
        <w:pStyle w:val="Text-lessspaceafter"/>
      </w:pPr>
      <w:r>
        <w:t>Wyndham City Council</w:t>
      </w:r>
    </w:p>
    <w:p w14:paraId="2ACA801F" w14:textId="77777777" w:rsidR="00855241" w:rsidRDefault="00855241" w:rsidP="00855241">
      <w:pPr>
        <w:pStyle w:val="Text-lessspaceafter"/>
      </w:pPr>
      <w:r>
        <w:t>Yarra City Council</w:t>
      </w:r>
    </w:p>
    <w:p w14:paraId="35A1DFEE" w14:textId="77777777" w:rsidR="00855241" w:rsidRDefault="00855241" w:rsidP="00855241">
      <w:pPr>
        <w:pStyle w:val="Text-lessspaceafter"/>
      </w:pPr>
      <w:r>
        <w:t>Yarra Ranges Shire Council</w:t>
      </w:r>
    </w:p>
    <w:p w14:paraId="1E188FEB" w14:textId="77777777" w:rsidR="00855241" w:rsidRDefault="00855241" w:rsidP="00855241">
      <w:pPr>
        <w:pStyle w:val="Text-lessspaceafter"/>
      </w:pPr>
      <w:r>
        <w:t>Yarriambiack Shire Council</w:t>
      </w:r>
    </w:p>
    <w:p w14:paraId="2F55F7C6" w14:textId="77777777" w:rsidR="00BC5284" w:rsidRDefault="00BC5284">
      <w:pPr>
        <w:pStyle w:val="Text"/>
      </w:pPr>
      <w:r>
        <w:t xml:space="preserve">We would also particularly like to acknowledge the following individuals who contributed to the development and delivery of the Review: </w:t>
      </w:r>
    </w:p>
    <w:p w14:paraId="100F32C3" w14:textId="77777777" w:rsidR="00BC5284" w:rsidRDefault="00BC5284">
      <w:pPr>
        <w:pStyle w:val="HeadingSubtitle3"/>
        <w:rPr>
          <w:color w:val="000000"/>
        </w:rPr>
      </w:pPr>
      <w:r>
        <w:rPr>
          <w:color w:val="000000"/>
        </w:rPr>
        <w:t>Review Steering Committee members</w:t>
      </w:r>
    </w:p>
    <w:p w14:paraId="321B0F6C" w14:textId="77777777" w:rsidR="00BC5284" w:rsidRDefault="00BC5284">
      <w:pPr>
        <w:pStyle w:val="Text-lessspaceafter"/>
      </w:pPr>
      <w:r>
        <w:t>Prof Stuart Macintyre – Chair</w:t>
      </w:r>
    </w:p>
    <w:p w14:paraId="532B7EFF" w14:textId="77777777" w:rsidR="00BC5284" w:rsidRDefault="00BC5284">
      <w:pPr>
        <w:pStyle w:val="Text-lessspaceafter"/>
      </w:pPr>
      <w:r>
        <w:t>Jennifer Moles – Chair</w:t>
      </w:r>
    </w:p>
    <w:p w14:paraId="46B3D188" w14:textId="77777777" w:rsidR="00BC5284" w:rsidRDefault="00BC5284">
      <w:pPr>
        <w:pStyle w:val="Text-lessspaceafter"/>
      </w:pPr>
      <w:r>
        <w:t>Geoffrey Austin</w:t>
      </w:r>
    </w:p>
    <w:p w14:paraId="7B7A2086" w14:textId="77777777" w:rsidR="00BC5284" w:rsidRDefault="00BC5284">
      <w:pPr>
        <w:pStyle w:val="Text-lessspaceafter"/>
      </w:pPr>
      <w:r>
        <w:t>Emlyn Breese</w:t>
      </w:r>
    </w:p>
    <w:p w14:paraId="173EB7E2" w14:textId="77777777" w:rsidR="00BC5284" w:rsidRDefault="00BC5284">
      <w:pPr>
        <w:pStyle w:val="Text-lessspaceafter"/>
      </w:pPr>
      <w:r>
        <w:t>Jason Close</w:t>
      </w:r>
    </w:p>
    <w:p w14:paraId="5C210EAD" w14:textId="77777777" w:rsidR="00BC5284" w:rsidRDefault="00BC5284">
      <w:pPr>
        <w:pStyle w:val="Text-lessspaceafter"/>
      </w:pPr>
      <w:r>
        <w:t>Zoran Jovanovski</w:t>
      </w:r>
    </w:p>
    <w:p w14:paraId="7B3CD7D0" w14:textId="77777777" w:rsidR="00BC5284" w:rsidRDefault="00BC5284">
      <w:pPr>
        <w:pStyle w:val="Text-lessspaceafter"/>
      </w:pPr>
      <w:r>
        <w:t>Jesse Keating</w:t>
      </w:r>
    </w:p>
    <w:p w14:paraId="68304603" w14:textId="77777777" w:rsidR="00BC5284" w:rsidRDefault="00BC5284">
      <w:pPr>
        <w:pStyle w:val="Text-lessspaceafter"/>
      </w:pPr>
      <w:r>
        <w:t>Rhonda McLaren</w:t>
      </w:r>
    </w:p>
    <w:p w14:paraId="1EFAE03F" w14:textId="77777777" w:rsidR="00BC5284" w:rsidRDefault="00BC5284">
      <w:pPr>
        <w:pStyle w:val="Text-lessspaceafter"/>
      </w:pPr>
      <w:r>
        <w:t>Lindsay Merritt</w:t>
      </w:r>
    </w:p>
    <w:p w14:paraId="19798DBB" w14:textId="77777777" w:rsidR="00BC5284" w:rsidRDefault="00BC5284">
      <w:pPr>
        <w:pStyle w:val="Text-lessspaceafter"/>
      </w:pPr>
      <w:r>
        <w:t>Natalie Reiter</w:t>
      </w:r>
    </w:p>
    <w:p w14:paraId="673F054A" w14:textId="77777777" w:rsidR="00BC5284" w:rsidRDefault="00BC5284">
      <w:pPr>
        <w:pStyle w:val="Text-lessspaceafter"/>
      </w:pPr>
      <w:r>
        <w:t>Natica Schmeder</w:t>
      </w:r>
    </w:p>
    <w:p w14:paraId="77BAD739" w14:textId="77777777" w:rsidR="00BC5284" w:rsidRDefault="00BC5284">
      <w:pPr>
        <w:pStyle w:val="Text-lessspaceafter"/>
      </w:pPr>
      <w:r>
        <w:t>Sophie Segafredo</w:t>
      </w:r>
    </w:p>
    <w:p w14:paraId="55DFA2C3" w14:textId="77777777" w:rsidR="00BC5284" w:rsidRDefault="00BC5284">
      <w:pPr>
        <w:pStyle w:val="Text-lessspaceafter"/>
      </w:pPr>
      <w:r>
        <w:t>Felicity Watson</w:t>
      </w:r>
    </w:p>
    <w:p w14:paraId="7F73F2D2" w14:textId="77777777" w:rsidR="00BC5284" w:rsidRDefault="00BC5284">
      <w:pPr>
        <w:pStyle w:val="Text-lessspaceafter"/>
      </w:pPr>
      <w:r>
        <w:t xml:space="preserve">Shiranthi Widan </w:t>
      </w:r>
    </w:p>
    <w:p w14:paraId="1E375648" w14:textId="77777777" w:rsidR="00BC5284" w:rsidRDefault="00BC5284">
      <w:pPr>
        <w:pStyle w:val="HeadingSubtitle3"/>
        <w:rPr>
          <w:color w:val="000000"/>
        </w:rPr>
      </w:pPr>
      <w:r>
        <w:rPr>
          <w:color w:val="000000"/>
        </w:rPr>
        <w:t>Project officers</w:t>
      </w:r>
    </w:p>
    <w:p w14:paraId="4BF5C286" w14:textId="77777777" w:rsidR="00BC5284" w:rsidRDefault="00BC5284">
      <w:pPr>
        <w:pStyle w:val="Text-lessspaceafter"/>
      </w:pPr>
      <w:r>
        <w:t>Dr Cael Leskovec</w:t>
      </w:r>
    </w:p>
    <w:p w14:paraId="2E347BA0" w14:textId="77777777" w:rsidR="00BC5284" w:rsidRDefault="00BC5284">
      <w:pPr>
        <w:pStyle w:val="Text-lessspaceafter"/>
      </w:pPr>
      <w:r>
        <w:t>Michelle Glynn</w:t>
      </w:r>
    </w:p>
    <w:p w14:paraId="2E778703" w14:textId="77777777" w:rsidR="00BC5284" w:rsidRDefault="00BC5284">
      <w:pPr>
        <w:pStyle w:val="HeadingSubtitle3"/>
        <w:rPr>
          <w:color w:val="000000"/>
        </w:rPr>
      </w:pPr>
      <w:r>
        <w:rPr>
          <w:color w:val="000000"/>
        </w:rPr>
        <w:t>Local Government Specialist Committee members</w:t>
      </w:r>
    </w:p>
    <w:p w14:paraId="3A83486B" w14:textId="77777777" w:rsidR="00BC5284" w:rsidRDefault="00BC5284">
      <w:pPr>
        <w:pStyle w:val="Text-lessspaceafter"/>
      </w:pPr>
      <w:r>
        <w:lastRenderedPageBreak/>
        <w:t>Lucinda Peterson – Chair</w:t>
      </w:r>
    </w:p>
    <w:p w14:paraId="597E11E7" w14:textId="77777777" w:rsidR="00BC5284" w:rsidRDefault="00BC5284">
      <w:pPr>
        <w:pStyle w:val="Text-lessspaceafter"/>
      </w:pPr>
      <w:r>
        <w:t>Patrick Doyle – Chair</w:t>
      </w:r>
    </w:p>
    <w:p w14:paraId="5481AD5F" w14:textId="77777777" w:rsidR="00BC5284" w:rsidRDefault="00BC5284">
      <w:pPr>
        <w:pStyle w:val="Text-lessspaceafter"/>
      </w:pPr>
      <w:r>
        <w:t>Emma Bryant</w:t>
      </w:r>
    </w:p>
    <w:p w14:paraId="0DE50948" w14:textId="77777777" w:rsidR="00BC5284" w:rsidRDefault="00BC5284">
      <w:pPr>
        <w:pStyle w:val="Text-lessspaceafter"/>
      </w:pPr>
      <w:r>
        <w:t>Jackie Donkin</w:t>
      </w:r>
    </w:p>
    <w:p w14:paraId="26A1B49F" w14:textId="77777777" w:rsidR="00BC5284" w:rsidRDefault="00BC5284">
      <w:pPr>
        <w:pStyle w:val="Text-lessspaceafter"/>
      </w:pPr>
      <w:r>
        <w:t>Colleen Lazenby</w:t>
      </w:r>
    </w:p>
    <w:p w14:paraId="249B0AB6" w14:textId="77777777" w:rsidR="00BC5284" w:rsidRDefault="00BC5284">
      <w:pPr>
        <w:pStyle w:val="Text-lessspaceafter"/>
      </w:pPr>
      <w:r>
        <w:t>Michael MacDonagh</w:t>
      </w:r>
    </w:p>
    <w:p w14:paraId="6AF69E83" w14:textId="77777777" w:rsidR="00BC5284" w:rsidRDefault="00BC5284">
      <w:pPr>
        <w:pStyle w:val="Text-lessspaceafter"/>
      </w:pPr>
      <w:r>
        <w:t>Lindsay Merritt</w:t>
      </w:r>
    </w:p>
    <w:p w14:paraId="122C02DA" w14:textId="77777777" w:rsidR="00BC5284" w:rsidRDefault="00BC5284">
      <w:pPr>
        <w:pStyle w:val="Text-lessspaceafter"/>
      </w:pPr>
      <w:r>
        <w:t>Sonia Rappell</w:t>
      </w:r>
    </w:p>
    <w:p w14:paraId="3D761107" w14:textId="77777777" w:rsidR="00BC5284" w:rsidRDefault="00BC5284">
      <w:pPr>
        <w:pStyle w:val="Text-lessspaceafter"/>
      </w:pPr>
      <w:r>
        <w:t xml:space="preserve">Robyn Riddett </w:t>
      </w:r>
    </w:p>
    <w:p w14:paraId="75781D58" w14:textId="77777777" w:rsidR="00BC5284" w:rsidRDefault="00BC5284">
      <w:pPr>
        <w:pStyle w:val="Text-lessspaceafter"/>
      </w:pPr>
      <w:r>
        <w:t>Jeffrey Robinson</w:t>
      </w:r>
    </w:p>
    <w:p w14:paraId="1C0AB713" w14:textId="77777777" w:rsidR="00BC5284" w:rsidRDefault="00BC5284">
      <w:pPr>
        <w:pStyle w:val="Text-lessspaceafter"/>
      </w:pPr>
      <w:r>
        <w:t>Pene Smith</w:t>
      </w:r>
    </w:p>
    <w:p w14:paraId="621E225A" w14:textId="77777777" w:rsidR="00BC5284" w:rsidRDefault="00BC5284">
      <w:pPr>
        <w:pStyle w:val="Text-lessspaceafter"/>
      </w:pPr>
      <w:r>
        <w:t>Samantha Westbrooke</w:t>
      </w:r>
    </w:p>
    <w:p w14:paraId="3918B75B" w14:textId="77777777" w:rsidR="00BC5284" w:rsidRDefault="00BC5284">
      <w:pPr>
        <w:pStyle w:val="HeadingSubtitle3"/>
        <w:rPr>
          <w:color w:val="000000"/>
        </w:rPr>
      </w:pPr>
      <w:r>
        <w:rPr>
          <w:color w:val="000000"/>
        </w:rPr>
        <w:t>Workshop facilitator</w:t>
      </w:r>
    </w:p>
    <w:p w14:paraId="043EDDAD" w14:textId="77777777" w:rsidR="00BC5284" w:rsidRDefault="00BC5284">
      <w:pPr>
        <w:pStyle w:val="Text-lessspaceafter"/>
      </w:pPr>
      <w:r>
        <w:t xml:space="preserve">Message Consultants – </w:t>
      </w:r>
      <w:r>
        <w:br/>
        <w:t>Catherine Heggen</w:t>
      </w:r>
    </w:p>
    <w:p w14:paraId="7ACAF17D" w14:textId="77777777" w:rsidR="00BC5284" w:rsidRDefault="00BC5284">
      <w:pPr>
        <w:pStyle w:val="HeadingSubtitle3"/>
        <w:rPr>
          <w:color w:val="000000"/>
        </w:rPr>
      </w:pPr>
      <w:r>
        <w:rPr>
          <w:color w:val="000000"/>
        </w:rPr>
        <w:t>Proof reader</w:t>
      </w:r>
    </w:p>
    <w:p w14:paraId="569F38BA" w14:textId="77777777" w:rsidR="00BC5284" w:rsidRDefault="00BC5284">
      <w:pPr>
        <w:pStyle w:val="Text-lessspaceafter"/>
      </w:pPr>
      <w:r>
        <w:t xml:space="preserve">Lauren O'Connell </w:t>
      </w:r>
    </w:p>
    <w:p w14:paraId="35501C33" w14:textId="77777777" w:rsidR="00BC5284" w:rsidRDefault="00BC5284">
      <w:pPr>
        <w:pStyle w:val="Text"/>
      </w:pPr>
      <w:r>
        <w:t> </w:t>
      </w:r>
    </w:p>
    <w:p w14:paraId="5D56A831" w14:textId="77777777" w:rsidR="00BC5284" w:rsidRDefault="00BC5284">
      <w:pPr>
        <w:pStyle w:val="Text"/>
      </w:pPr>
    </w:p>
    <w:p w14:paraId="607F4D92" w14:textId="77777777" w:rsidR="00BC5284" w:rsidRDefault="00BC5284">
      <w:pPr>
        <w:pStyle w:val="Text-lessspaceafter"/>
      </w:pPr>
    </w:p>
    <w:p w14:paraId="0ECFB7DA" w14:textId="77777777" w:rsidR="00BC5284" w:rsidRDefault="00BC5284">
      <w:pPr>
        <w:pStyle w:val="HeadingSubtitle2"/>
        <w:jc w:val="center"/>
        <w:rPr>
          <w:color w:val="000000"/>
        </w:rPr>
      </w:pPr>
      <w:r>
        <w:rPr>
          <w:color w:val="000000"/>
        </w:rPr>
        <w:t>heritagecouncil.vic.gov.au</w:t>
      </w:r>
    </w:p>
    <w:sectPr w:rsidR="00BC528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9A6A8" w14:textId="77777777" w:rsidR="00352FC0" w:rsidRDefault="00352FC0">
      <w:r>
        <w:separator/>
      </w:r>
    </w:p>
  </w:endnote>
  <w:endnote w:type="continuationSeparator" w:id="0">
    <w:p w14:paraId="614B650E" w14:textId="77777777" w:rsidR="00352FC0" w:rsidRDefault="0035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reightText Pro Bold">
    <w:altName w:val="Calibri"/>
    <w:panose1 w:val="00000000000000000000"/>
    <w:charset w:val="00"/>
    <w:family w:val="auto"/>
    <w:notTrueType/>
    <w:pitch w:val="variable"/>
    <w:sig w:usb0="A00000AF" w:usb1="5000044B" w:usb2="00000000" w:usb3="00000000" w:csb0="00000093" w:csb1="00000000"/>
  </w:font>
  <w:font w:name="FreightSans Pro Book">
    <w:altName w:val="Calibri"/>
    <w:panose1 w:val="00000000000000000000"/>
    <w:charset w:val="00"/>
    <w:family w:val="auto"/>
    <w:notTrueType/>
    <w:pitch w:val="variable"/>
    <w:sig w:usb0="A000002F" w:usb1="5000044B" w:usb2="00000000" w:usb3="00000000" w:csb0="00000093" w:csb1="00000000"/>
  </w:font>
  <w:font w:name="FreightSans Pro Bold">
    <w:altName w:val="Calibri"/>
    <w:panose1 w:val="00000000000000000000"/>
    <w:charset w:val="00"/>
    <w:family w:val="auto"/>
    <w:notTrueType/>
    <w:pitch w:val="variable"/>
    <w:sig w:usb0="A00000AF" w:usb1="5000044B" w:usb2="00000000" w:usb3="00000000" w:csb0="00000093" w:csb1="00000000"/>
  </w:font>
  <w:font w:name="FreightText Pro Book">
    <w:altName w:val="Calibri"/>
    <w:panose1 w:val="00000000000000000000"/>
    <w:charset w:val="00"/>
    <w:family w:val="auto"/>
    <w:notTrueType/>
    <w:pitch w:val="variable"/>
    <w:sig w:usb0="A00000AF" w:usb1="5000044B" w:usb2="00000000" w:usb3="00000000" w:csb0="00000093" w:csb1="00000000"/>
  </w:font>
  <w:font w:name="FreightText Pro Light">
    <w:charset w:val="00"/>
    <w:family w:val="auto"/>
    <w:pitch w:val="variable"/>
    <w:sig w:usb0="A000002F" w:usb1="5000044B" w:usb2="00000000" w:usb3="00000000" w:csb0="00000093" w:csb1="00000000"/>
  </w:font>
  <w:font w:name="FreightSans Pro Medium">
    <w:altName w:val="Calibri"/>
    <w:panose1 w:val="00000000000000000000"/>
    <w:charset w:val="00"/>
    <w:family w:val="auto"/>
    <w:notTrueType/>
    <w:pitch w:val="variable"/>
    <w:sig w:usb0="A000002F" w:usb1="5000044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BB28F" w14:textId="77777777" w:rsidR="00B73FFA" w:rsidRDefault="00B73FFA" w:rsidP="00BC5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DDE3B4" w14:textId="77777777" w:rsidR="00B73FFA" w:rsidRDefault="00B73FFA" w:rsidP="00BC5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9C309" w14:textId="44F63EE6" w:rsidR="00B73FFA" w:rsidRDefault="007013DF" w:rsidP="00BC5284">
    <w:pPr>
      <w:pStyle w:val="Footer"/>
      <w:framePr w:wrap="none" w:vAnchor="text" w:hAnchor="margin" w:xAlign="right" w:y="1"/>
      <w:rPr>
        <w:rStyle w:val="PageNumber"/>
      </w:rPr>
    </w:pPr>
    <w:r>
      <w:rPr>
        <w:noProof/>
      </w:rPr>
      <w:pict w14:anchorId="35D7C962">
        <v:shapetype id="_x0000_t202" coordsize="21600,21600" o:spt="202" path="m,l,21600r21600,l21600,xe">
          <v:stroke joinstyle="miter"/>
          <v:path gradientshapeok="t" o:connecttype="rect"/>
        </v:shapetype>
        <v:shape id="MSIPCMeedf461790688af76ceffd43" o:spid="_x0000_s1025" type="#_x0000_t202" alt="{&quot;HashCode&quot;:-1264680268,&quot;Height&quot;:792.0,&quot;Width&quot;:612.0,&quot;Placement&quot;:&quot;Footer&quot;,&quot;Index&quot;:&quot;Primary&quot;,&quot;Section&quot;:1,&quot;Top&quot;:0.0,&quot;Left&quot;:0.0}" style="position:absolute;margin-left:0;margin-top:755.45pt;width:612pt;height:21.55pt;z-index:251658240;mso-wrap-style:square;mso-position-horizontal:absolute;mso-position-horizontal-relative:page;mso-position-vertical:absolute;mso-position-vertical-relative:page;v-text-anchor:bottom" o:allowincell="f" filled="f" stroked="f">
          <v:textbox inset=",0,,0">
            <w:txbxContent>
              <w:p w14:paraId="5F2BC2A7" w14:textId="2CD77927" w:rsidR="007013DF" w:rsidRPr="007013DF" w:rsidRDefault="007013DF" w:rsidP="007013DF">
                <w:pPr>
                  <w:jc w:val="center"/>
                  <w:rPr>
                    <w:color w:val="000000"/>
                  </w:rPr>
                </w:pPr>
                <w:r w:rsidRPr="007013DF">
                  <w:rPr>
                    <w:color w:val="000000"/>
                  </w:rPr>
                  <w:t>OFFICIAL</w:t>
                </w:r>
              </w:p>
            </w:txbxContent>
          </v:textbox>
          <w10:wrap anchorx="page" anchory="page"/>
        </v:shape>
      </w:pict>
    </w:r>
    <w:r w:rsidR="00B73FFA">
      <w:rPr>
        <w:rStyle w:val="PageNumber"/>
      </w:rPr>
      <w:fldChar w:fldCharType="begin"/>
    </w:r>
    <w:r w:rsidR="00B73FFA">
      <w:rPr>
        <w:rStyle w:val="PageNumber"/>
      </w:rPr>
      <w:instrText xml:space="preserve"> PAGE </w:instrText>
    </w:r>
    <w:r w:rsidR="00B73FFA">
      <w:rPr>
        <w:rStyle w:val="PageNumber"/>
      </w:rPr>
      <w:fldChar w:fldCharType="separate"/>
    </w:r>
    <w:r w:rsidR="00B73FFA">
      <w:rPr>
        <w:rStyle w:val="PageNumber"/>
        <w:noProof/>
      </w:rPr>
      <w:t>1</w:t>
    </w:r>
    <w:r w:rsidR="00B73FFA">
      <w:rPr>
        <w:rStyle w:val="PageNumber"/>
      </w:rPr>
      <w:fldChar w:fldCharType="end"/>
    </w:r>
  </w:p>
  <w:p w14:paraId="0CDBDE6E" w14:textId="77777777" w:rsidR="00B73FFA" w:rsidRDefault="00B73FFA" w:rsidP="00BC52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4FF5" w14:textId="77777777" w:rsidR="007013DF" w:rsidRDefault="0070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D13D" w14:textId="77777777" w:rsidR="00352FC0" w:rsidRDefault="00352FC0">
      <w:r>
        <w:separator/>
      </w:r>
    </w:p>
  </w:footnote>
  <w:footnote w:type="continuationSeparator" w:id="0">
    <w:p w14:paraId="5698029A" w14:textId="77777777" w:rsidR="00352FC0" w:rsidRDefault="00352FC0">
      <w:r>
        <w:continuationSeparator/>
      </w:r>
    </w:p>
  </w:footnote>
  <w:footnote w:id="1">
    <w:p w14:paraId="76A38278"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i/>
          <w:iCs/>
          <w:sz w:val="16"/>
          <w:szCs w:val="16"/>
        </w:rPr>
        <w:t>Heritage Act 2017</w:t>
      </w:r>
      <w:r>
        <w:rPr>
          <w:rFonts w:ascii="FreightSans Pro Medium" w:hAnsi="FreightSans Pro Medium" w:cs="FreightSans Pro Medium"/>
          <w:sz w:val="16"/>
          <w:szCs w:val="16"/>
        </w:rPr>
        <w:t>, Part 2, Section 11(1), (2).</w:t>
      </w:r>
    </w:p>
  </w:footnote>
  <w:footnote w:id="2">
    <w:p w14:paraId="79D12AEE"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sz w:val="16"/>
          <w:szCs w:val="16"/>
        </w:rPr>
        <w:t>These criteria are based on the model criteria developed at the National Heritage Convention (the ‘HERCON criteria’) in 1998.</w:t>
      </w:r>
    </w:p>
  </w:footnote>
  <w:footnote w:id="3">
    <w:p w14:paraId="6868E312"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i/>
          <w:iCs/>
          <w:sz w:val="16"/>
          <w:szCs w:val="16"/>
        </w:rPr>
        <w:t>Heritage Act 2017</w:t>
      </w:r>
      <w:r>
        <w:rPr>
          <w:rFonts w:ascii="FreightSans Pro Medium" w:hAnsi="FreightSans Pro Medium" w:cs="FreightSans Pro Medium"/>
          <w:sz w:val="16"/>
          <w:szCs w:val="16"/>
        </w:rPr>
        <w:t>, Section 19(1), (2).</w:t>
      </w:r>
    </w:p>
  </w:footnote>
  <w:footnote w:id="4">
    <w:p w14:paraId="1ADC1810"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i/>
          <w:iCs/>
          <w:sz w:val="16"/>
          <w:szCs w:val="16"/>
        </w:rPr>
        <w:t>Planning and Environment Act 1987</w:t>
      </w:r>
      <w:r>
        <w:rPr>
          <w:rFonts w:ascii="FreightSans Pro Medium" w:hAnsi="FreightSans Pro Medium" w:cs="FreightSans Pro Medium"/>
          <w:sz w:val="16"/>
          <w:szCs w:val="16"/>
        </w:rPr>
        <w:t>, Part 1, Section 4(1)(a).</w:t>
      </w:r>
    </w:p>
  </w:footnote>
  <w:footnote w:id="5">
    <w:p w14:paraId="0893CE38" w14:textId="77777777" w:rsidR="00A8013F" w:rsidRDefault="00B73FFA">
      <w:pPr>
        <w:pStyle w:val="Footnotes-TextSmallSansMedium8pt"/>
      </w:pPr>
      <w:r>
        <w:rPr>
          <w:vertAlign w:val="superscript"/>
        </w:rPr>
        <w:footnoteRef/>
      </w:r>
      <w:r>
        <w:tab/>
        <w:t xml:space="preserve">According to the ABS’s </w:t>
      </w:r>
      <w:r>
        <w:rPr>
          <w:i/>
          <w:iCs/>
        </w:rPr>
        <w:t>Regional Population Growth, Australia</w:t>
      </w:r>
      <w:r>
        <w:t xml:space="preserve"> – Estimated Resident Population at 30 June 2018.</w:t>
      </w:r>
    </w:p>
  </w:footnote>
  <w:footnote w:id="6">
    <w:p w14:paraId="295AFADC" w14:textId="77777777" w:rsidR="00A8013F" w:rsidRDefault="00B73FFA">
      <w:pPr>
        <w:pStyle w:val="Footnotes-TextSmallSansMedium8pt"/>
      </w:pPr>
      <w:r>
        <w:rPr>
          <w:vertAlign w:val="superscript"/>
        </w:rPr>
        <w:footnoteRef/>
      </w:r>
      <w:r>
        <w:tab/>
        <w:t>The Mt Buller &amp; Mt Stirling ARMB has been included in the rural small category.</w:t>
      </w:r>
    </w:p>
  </w:footnote>
  <w:footnote w:id="7">
    <w:p w14:paraId="22568C76" w14:textId="77777777" w:rsidR="00A8013F" w:rsidRDefault="00B73FFA">
      <w:pPr>
        <w:pStyle w:val="FootnoteText"/>
      </w:pPr>
      <w:r>
        <w:rPr>
          <w:rStyle w:val="FootnoteReference"/>
        </w:rPr>
        <w:footnoteRef/>
      </w:r>
      <w:r>
        <w:rPr>
          <w:rFonts w:ascii="FreightSans Pro Medium" w:hAnsi="FreightSans Pro Medium" w:cs="FreightSans Pro Medium"/>
          <w:i/>
          <w:iCs/>
          <w:sz w:val="16"/>
          <w:szCs w:val="16"/>
        </w:rPr>
        <w:t xml:space="preserve">    Municipal Heritage Strategies: A Guide for Councils</w:t>
      </w:r>
      <w:r>
        <w:rPr>
          <w:rFonts w:ascii="FreightSans Pro Medium" w:hAnsi="FreightSans Pro Medium" w:cs="FreightSans Pro Medium"/>
          <w:sz w:val="16"/>
          <w:szCs w:val="16"/>
        </w:rPr>
        <w:t xml:space="preserve"> (2012).</w:t>
      </w:r>
    </w:p>
  </w:footnote>
  <w:footnote w:id="8">
    <w:p w14:paraId="6D5749BB"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sz w:val="16"/>
          <w:szCs w:val="16"/>
        </w:rPr>
        <w:t>ARMBs typically do not conduct heritage studies. Their areas are often assessed as part of the heritage studies of neighbouring councils.</w:t>
      </w:r>
    </w:p>
  </w:footnote>
  <w:footnote w:id="9">
    <w:p w14:paraId="48B473FC"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sz w:val="16"/>
          <w:szCs w:val="16"/>
        </w:rPr>
        <w:t>Data provided by Planning Panels Victoria.</w:t>
      </w:r>
    </w:p>
  </w:footnote>
  <w:footnote w:id="10">
    <w:p w14:paraId="4DD2577F"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sz w:val="16"/>
          <w:szCs w:val="16"/>
        </w:rPr>
        <w:t>This refers to a planning scheme amendment having been completed for each heritage study, regardless of what percentage of properties assessed in the study   make it into the HO.</w:t>
      </w:r>
    </w:p>
  </w:footnote>
  <w:footnote w:id="11">
    <w:p w14:paraId="197391E2"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sz w:val="16"/>
          <w:szCs w:val="16"/>
        </w:rPr>
        <w:t>This is the process of allowing a building to deteriorate to the point that demolition becomes necessary or that restoration becomes unfeasible.</w:t>
      </w:r>
    </w:p>
  </w:footnote>
  <w:footnote w:id="12">
    <w:p w14:paraId="01B0506A" w14:textId="77777777" w:rsidR="00A8013F" w:rsidRDefault="00B73FFA">
      <w:pPr>
        <w:pStyle w:val="FootnoteText"/>
      </w:pPr>
      <w:r>
        <w:rPr>
          <w:rStyle w:val="FootnoteReference"/>
        </w:rPr>
        <w:footnoteRef/>
      </w:r>
      <w:r>
        <w:t xml:space="preserve"> </w:t>
      </w:r>
      <w:r>
        <w:rPr>
          <w:rFonts w:ascii="FreightSans Pro Medium" w:hAnsi="FreightSans Pro Medium" w:cs="FreightSans Pro Medium"/>
          <w:sz w:val="16"/>
          <w:szCs w:val="16"/>
        </w:rPr>
        <w:t>Only issues within the scope of the Review were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B03C" w14:textId="77777777" w:rsidR="007013DF" w:rsidRDefault="0070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CB1F" w14:textId="77777777" w:rsidR="007013DF" w:rsidRDefault="00701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F5AD" w14:textId="77777777" w:rsidR="007013DF" w:rsidRDefault="00701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5284"/>
    <w:rsid w:val="000339C5"/>
    <w:rsid w:val="00073CE4"/>
    <w:rsid w:val="00103503"/>
    <w:rsid w:val="00125A6D"/>
    <w:rsid w:val="0012618E"/>
    <w:rsid w:val="00143982"/>
    <w:rsid w:val="001546F9"/>
    <w:rsid w:val="001772B0"/>
    <w:rsid w:val="00196091"/>
    <w:rsid w:val="001F4513"/>
    <w:rsid w:val="00234914"/>
    <w:rsid w:val="00241D54"/>
    <w:rsid w:val="0025698C"/>
    <w:rsid w:val="0028510D"/>
    <w:rsid w:val="00352FC0"/>
    <w:rsid w:val="00470DA0"/>
    <w:rsid w:val="00492BC4"/>
    <w:rsid w:val="004A5322"/>
    <w:rsid w:val="004F089E"/>
    <w:rsid w:val="005040CF"/>
    <w:rsid w:val="0051315C"/>
    <w:rsid w:val="005443E9"/>
    <w:rsid w:val="0059510D"/>
    <w:rsid w:val="00605460"/>
    <w:rsid w:val="006D242E"/>
    <w:rsid w:val="007013DF"/>
    <w:rsid w:val="00784AD2"/>
    <w:rsid w:val="00855241"/>
    <w:rsid w:val="008E06D5"/>
    <w:rsid w:val="008F0CFE"/>
    <w:rsid w:val="00912FC4"/>
    <w:rsid w:val="00924E22"/>
    <w:rsid w:val="0096174A"/>
    <w:rsid w:val="0099692E"/>
    <w:rsid w:val="009A297D"/>
    <w:rsid w:val="009B6E1E"/>
    <w:rsid w:val="009E178F"/>
    <w:rsid w:val="00A8013F"/>
    <w:rsid w:val="00B15A25"/>
    <w:rsid w:val="00B73FFA"/>
    <w:rsid w:val="00B84B42"/>
    <w:rsid w:val="00BC5284"/>
    <w:rsid w:val="00C41A7D"/>
    <w:rsid w:val="00C51D6B"/>
    <w:rsid w:val="00C70825"/>
    <w:rsid w:val="00C709E3"/>
    <w:rsid w:val="00C90BE4"/>
    <w:rsid w:val="00D32EC6"/>
    <w:rsid w:val="00D43BDC"/>
    <w:rsid w:val="00D65164"/>
    <w:rsid w:val="00EC1C86"/>
    <w:rsid w:val="00F436A3"/>
    <w:rsid w:val="00F80BF7"/>
    <w:rsid w:val="00FD7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6DFE3"/>
  <w14:defaultImageDpi w14:val="0"/>
  <w15:docId w15:val="{70BB1B87-3B92-9649-AB7F-D70BB12E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tyle>
  <w:style w:type="paragraph" w:customStyle="1" w:styleId="ChapterHeading">
    <w:name w:val="Chapter Heading"/>
    <w:basedOn w:val="NoParagraphStyle"/>
    <w:uiPriority w:val="99"/>
    <w:pPr>
      <w:suppressAutoHyphens/>
      <w:spacing w:line="640" w:lineRule="atLeast"/>
    </w:pPr>
    <w:rPr>
      <w:rFonts w:ascii="FreightText Pro Bold" w:hAnsi="FreightText Pro Bold" w:cs="FreightText Pro Bold"/>
      <w:b/>
      <w:bCs/>
      <w:color w:val="AA1E2D"/>
      <w:sz w:val="60"/>
      <w:szCs w:val="60"/>
    </w:rPr>
  </w:style>
  <w:style w:type="paragraph" w:customStyle="1" w:styleId="CaseStudyHeading1">
    <w:name w:val="Case Study Heading 1"/>
    <w:basedOn w:val="ChapterHeading"/>
    <w:uiPriority w:val="99"/>
    <w:rPr>
      <w:rFonts w:ascii="FreightSans Pro Book" w:hAnsi="FreightSans Pro Book" w:cs="FreightSans Pro Book"/>
      <w:color w:val="FFFFFF"/>
      <w:spacing w:val="25"/>
      <w:sz w:val="42"/>
      <w:szCs w:val="42"/>
    </w:rPr>
  </w:style>
  <w:style w:type="paragraph" w:customStyle="1" w:styleId="HeadingSubtitle2">
    <w:name w:val="Heading Subtitle 2"/>
    <w:basedOn w:val="NoParagraphStyle"/>
    <w:uiPriority w:val="99"/>
    <w:pPr>
      <w:suppressAutoHyphens/>
      <w:spacing w:before="113" w:after="28" w:line="260" w:lineRule="atLeast"/>
    </w:pPr>
    <w:rPr>
      <w:rFonts w:ascii="FreightSans Pro Bold" w:hAnsi="FreightSans Pro Bold" w:cs="FreightSans Pro Bold"/>
      <w:b/>
      <w:bCs/>
      <w:color w:val="AA1E2D"/>
    </w:rPr>
  </w:style>
  <w:style w:type="paragraph" w:customStyle="1" w:styleId="Text">
    <w:name w:val="Text"/>
    <w:basedOn w:val="NoParagraphStyle"/>
    <w:uiPriority w:val="99"/>
    <w:pPr>
      <w:tabs>
        <w:tab w:val="left" w:pos="283"/>
        <w:tab w:val="left" w:pos="567"/>
      </w:tabs>
      <w:suppressAutoHyphens/>
      <w:spacing w:before="57" w:after="57" w:line="250" w:lineRule="atLeast"/>
    </w:pPr>
    <w:rPr>
      <w:rFonts w:ascii="FreightText Pro Book" w:hAnsi="FreightText Pro Book" w:cs="FreightText Pro Book"/>
      <w:sz w:val="20"/>
      <w:szCs w:val="20"/>
    </w:rPr>
  </w:style>
  <w:style w:type="paragraph" w:customStyle="1" w:styleId="Intropara">
    <w:name w:val="Intro para"/>
    <w:basedOn w:val="Text"/>
    <w:uiPriority w:val="99"/>
    <w:pPr>
      <w:spacing w:line="270" w:lineRule="atLeast"/>
    </w:pPr>
    <w:rPr>
      <w:rFonts w:ascii="FreightText Pro Bold" w:hAnsi="FreightText Pro Bold" w:cs="FreightText Pro Bold"/>
      <w:b/>
      <w:bCs/>
      <w:color w:val="313E48"/>
      <w:sz w:val="22"/>
      <w:szCs w:val="22"/>
    </w:rPr>
  </w:style>
  <w:style w:type="paragraph" w:customStyle="1" w:styleId="Imprint">
    <w:name w:val="Imprint"/>
    <w:basedOn w:val="Text"/>
    <w:uiPriority w:val="99"/>
    <w:pPr>
      <w:spacing w:line="220" w:lineRule="atLeast"/>
    </w:pPr>
    <w:rPr>
      <w:sz w:val="18"/>
      <w:szCs w:val="18"/>
    </w:rPr>
  </w:style>
  <w:style w:type="paragraph" w:customStyle="1" w:styleId="HeadingSubtitle4">
    <w:name w:val="Heading Subtitle 4"/>
    <w:basedOn w:val="Text"/>
    <w:uiPriority w:val="99"/>
    <w:pPr>
      <w:spacing w:after="0" w:line="240" w:lineRule="atLeast"/>
    </w:pPr>
    <w:rPr>
      <w:rFonts w:ascii="FreightSans Pro Bold" w:hAnsi="FreightSans Pro Bold" w:cs="FreightSans Pro Bold"/>
      <w:b/>
      <w:bCs/>
      <w:color w:val="313E48"/>
    </w:rPr>
  </w:style>
  <w:style w:type="paragraph" w:customStyle="1" w:styleId="ToCStyle2Boldtext-CapsLC">
    <w:name w:val="ToC Style 2 Bold text - Caps L/C"/>
    <w:basedOn w:val="NoParagraphStyle"/>
    <w:uiPriority w:val="99"/>
    <w:pPr>
      <w:pBdr>
        <w:bottom w:val="single" w:sz="4" w:space="4" w:color="auto"/>
      </w:pBdr>
      <w:tabs>
        <w:tab w:val="left" w:pos="283"/>
        <w:tab w:val="left" w:pos="680"/>
        <w:tab w:val="left" w:pos="1134"/>
        <w:tab w:val="decimal" w:pos="10035"/>
      </w:tabs>
      <w:suppressAutoHyphens/>
      <w:spacing w:before="85" w:after="57" w:line="240" w:lineRule="atLeast"/>
    </w:pPr>
    <w:rPr>
      <w:rFonts w:ascii="FreightText Pro Bold" w:hAnsi="FreightText Pro Bold" w:cs="FreightText Pro Bold"/>
      <w:b/>
      <w:bCs/>
      <w:sz w:val="20"/>
      <w:szCs w:val="20"/>
    </w:rPr>
  </w:style>
  <w:style w:type="paragraph" w:customStyle="1" w:styleId="ToCStyle1Boldtext-Caps">
    <w:name w:val="ToC Style 1 Bold text - Caps"/>
    <w:basedOn w:val="NoParagraphStyle"/>
    <w:uiPriority w:val="99"/>
    <w:pPr>
      <w:pBdr>
        <w:bottom w:val="single" w:sz="4" w:space="4" w:color="auto"/>
      </w:pBdr>
      <w:tabs>
        <w:tab w:val="left" w:pos="283"/>
        <w:tab w:val="left" w:pos="567"/>
        <w:tab w:val="decimal" w:pos="10035"/>
      </w:tabs>
      <w:suppressAutoHyphens/>
      <w:spacing w:before="85" w:after="57" w:line="240" w:lineRule="atLeast"/>
    </w:pPr>
    <w:rPr>
      <w:rFonts w:ascii="FreightSans Pro Bold" w:hAnsi="FreightSans Pro Bold" w:cs="FreightSans Pro Bold"/>
      <w:b/>
      <w:bCs/>
      <w:caps/>
      <w:sz w:val="20"/>
      <w:szCs w:val="20"/>
    </w:rPr>
  </w:style>
  <w:style w:type="paragraph" w:customStyle="1" w:styleId="Strapline">
    <w:name w:val="Strapline"/>
    <w:basedOn w:val="NoParagraphStyle"/>
    <w:uiPriority w:val="99"/>
    <w:pPr>
      <w:spacing w:before="28"/>
    </w:pPr>
    <w:rPr>
      <w:rFonts w:ascii="FreightText Pro Light" w:hAnsi="FreightText Pro Light" w:cs="FreightText Pro Light"/>
      <w:i/>
      <w:iCs/>
      <w:color w:val="313E48"/>
      <w:sz w:val="36"/>
      <w:szCs w:val="36"/>
    </w:rPr>
  </w:style>
  <w:style w:type="paragraph" w:customStyle="1" w:styleId="ChapterHeadingFM">
    <w:name w:val="Chapter Heading FM"/>
    <w:basedOn w:val="NoParagraphStyle"/>
    <w:uiPriority w:val="99"/>
    <w:pPr>
      <w:suppressAutoHyphens/>
      <w:spacing w:line="640" w:lineRule="atLeast"/>
    </w:pPr>
    <w:rPr>
      <w:rFonts w:ascii="FreightText Pro Bold" w:hAnsi="FreightText Pro Bold" w:cs="FreightText Pro Bold"/>
      <w:b/>
      <w:bCs/>
      <w:color w:val="AA1E2D"/>
      <w:sz w:val="60"/>
      <w:szCs w:val="60"/>
    </w:rPr>
  </w:style>
  <w:style w:type="paragraph" w:customStyle="1" w:styleId="Headingsubtitle1-notinToC">
    <w:name w:val="Heading subtitle 1 - not in ToC"/>
    <w:basedOn w:val="NoParagraphStyle"/>
    <w:uiPriority w:val="99"/>
    <w:pPr>
      <w:pBdr>
        <w:bottom w:val="single" w:sz="2" w:space="5" w:color="000000"/>
      </w:pBdr>
      <w:suppressAutoHyphens/>
      <w:spacing w:before="170" w:after="170" w:line="340" w:lineRule="atLeast"/>
    </w:pPr>
    <w:rPr>
      <w:rFonts w:ascii="FreightSans Pro Medium" w:hAnsi="FreightSans Pro Medium" w:cs="FreightSans Pro Medium"/>
      <w:color w:val="313E48"/>
      <w:sz w:val="32"/>
      <w:szCs w:val="32"/>
    </w:rPr>
  </w:style>
  <w:style w:type="paragraph" w:customStyle="1" w:styleId="TextBulletsPara">
    <w:name w:val="Text Bullets Para"/>
    <w:basedOn w:val="NoParagraphStyle"/>
    <w:uiPriority w:val="99"/>
    <w:pPr>
      <w:tabs>
        <w:tab w:val="left" w:pos="0"/>
      </w:tabs>
      <w:suppressAutoHyphens/>
      <w:spacing w:before="57" w:after="57" w:line="250" w:lineRule="atLeast"/>
      <w:ind w:left="283" w:hanging="283"/>
    </w:pPr>
    <w:rPr>
      <w:rFonts w:ascii="FreightText Pro Book" w:hAnsi="FreightText Pro Book" w:cs="FreightText Pro Book"/>
      <w:sz w:val="20"/>
      <w:szCs w:val="20"/>
    </w:rPr>
  </w:style>
  <w:style w:type="paragraph" w:customStyle="1" w:styleId="Headingsubtitle1">
    <w:name w:val="Heading subtitle 1"/>
    <w:basedOn w:val="NoParagraphStyle"/>
    <w:uiPriority w:val="99"/>
    <w:pPr>
      <w:pBdr>
        <w:bottom w:val="single" w:sz="2" w:space="5" w:color="000000"/>
      </w:pBdr>
      <w:suppressAutoHyphens/>
      <w:spacing w:before="170" w:after="170" w:line="340" w:lineRule="atLeast"/>
    </w:pPr>
    <w:rPr>
      <w:rFonts w:ascii="FreightSans Pro Medium" w:hAnsi="FreightSans Pro Medium" w:cs="FreightSans Pro Medium"/>
      <w:color w:val="313E48"/>
      <w:sz w:val="32"/>
      <w:szCs w:val="32"/>
    </w:rPr>
  </w:style>
  <w:style w:type="paragraph" w:customStyle="1" w:styleId="HeadingSubtitle3">
    <w:name w:val="Heading Subtitle 3"/>
    <w:basedOn w:val="NoParagraphStyle"/>
    <w:uiPriority w:val="99"/>
    <w:pPr>
      <w:suppressAutoHyphens/>
      <w:spacing w:before="113" w:after="28" w:line="260" w:lineRule="atLeast"/>
    </w:pPr>
    <w:rPr>
      <w:rFonts w:ascii="FreightSans Pro Bold" w:hAnsi="FreightSans Pro Bold" w:cs="FreightSans Pro Bold"/>
      <w:b/>
      <w:bCs/>
      <w:color w:val="313E48"/>
      <w:sz w:val="22"/>
      <w:szCs w:val="22"/>
    </w:rPr>
  </w:style>
  <w:style w:type="paragraph" w:customStyle="1" w:styleId="FigureTitleandnumbernounderline">
    <w:name w:val="Figure Title and number no underline"/>
    <w:basedOn w:val="NoParagraphStyle"/>
    <w:uiPriority w:val="99"/>
    <w:pPr>
      <w:suppressAutoHyphens/>
      <w:spacing w:before="85" w:after="113"/>
    </w:pPr>
    <w:rPr>
      <w:rFonts w:ascii="FreightText Pro Bold" w:hAnsi="FreightText Pro Bold" w:cs="FreightText Pro Bold"/>
      <w:b/>
      <w:bCs/>
      <w:sz w:val="20"/>
      <w:szCs w:val="20"/>
    </w:rPr>
  </w:style>
  <w:style w:type="paragraph" w:customStyle="1" w:styleId="Footnotes-TextSmallSansMedium8pt">
    <w:name w:val="Footnotes - Text Small Sans Medium 8pt"/>
    <w:basedOn w:val="NoParagraphStyle"/>
    <w:uiPriority w:val="99"/>
    <w:pPr>
      <w:tabs>
        <w:tab w:val="left" w:pos="227"/>
      </w:tabs>
      <w:suppressAutoHyphens/>
      <w:spacing w:before="85" w:after="28" w:line="200" w:lineRule="atLeast"/>
    </w:pPr>
    <w:rPr>
      <w:rFonts w:ascii="FreightSans Pro Medium" w:hAnsi="FreightSans Pro Medium" w:cs="FreightSans Pro Medium"/>
      <w:sz w:val="16"/>
      <w:szCs w:val="16"/>
    </w:rPr>
  </w:style>
  <w:style w:type="paragraph" w:customStyle="1" w:styleId="CaseStudyHeading2">
    <w:name w:val="Case Study Heading 2"/>
    <w:basedOn w:val="NoParagraphStyle"/>
    <w:uiPriority w:val="99"/>
    <w:pPr>
      <w:suppressAutoHyphens/>
      <w:spacing w:line="480" w:lineRule="atLeast"/>
    </w:pPr>
    <w:rPr>
      <w:rFonts w:ascii="FreightText Pro Bold" w:hAnsi="FreightText Pro Bold" w:cs="FreightText Pro Bold"/>
      <w:b/>
      <w:bCs/>
      <w:color w:val="FFFFFF"/>
      <w:sz w:val="42"/>
      <w:szCs w:val="42"/>
    </w:rPr>
  </w:style>
  <w:style w:type="paragraph" w:customStyle="1" w:styleId="HeadingSubtitle3-CaseStudy">
    <w:name w:val="Heading Subtitle 3 - Case Study"/>
    <w:basedOn w:val="NoParagraphStyle"/>
    <w:uiPriority w:val="99"/>
    <w:pPr>
      <w:suppressAutoHyphens/>
      <w:spacing w:before="85"/>
    </w:pPr>
    <w:rPr>
      <w:rFonts w:ascii="FreightSans Pro Bold" w:hAnsi="FreightSans Pro Bold" w:cs="FreightSans Pro Bold"/>
      <w:b/>
      <w:bCs/>
      <w:color w:val="AA1E2D"/>
      <w:sz w:val="22"/>
      <w:szCs w:val="22"/>
    </w:rPr>
  </w:style>
  <w:style w:type="paragraph" w:customStyle="1" w:styleId="Text-CaseStudy">
    <w:name w:val="Text - Case Study"/>
    <w:basedOn w:val="NoParagraphStyle"/>
    <w:uiPriority w:val="99"/>
    <w:pPr>
      <w:tabs>
        <w:tab w:val="left" w:pos="283"/>
        <w:tab w:val="left" w:pos="567"/>
      </w:tabs>
      <w:suppressAutoHyphens/>
      <w:spacing w:before="57" w:after="57" w:line="250" w:lineRule="atLeast"/>
    </w:pPr>
    <w:rPr>
      <w:rFonts w:ascii="FreightSans Pro Book" w:hAnsi="FreightSans Pro Book" w:cs="FreightSans Pro Book"/>
      <w:sz w:val="20"/>
      <w:szCs w:val="20"/>
    </w:rPr>
  </w:style>
  <w:style w:type="paragraph" w:customStyle="1" w:styleId="Captions">
    <w:name w:val="Captions"/>
    <w:basedOn w:val="NoParagraphStyle"/>
    <w:uiPriority w:val="99"/>
    <w:pPr>
      <w:pBdr>
        <w:bottom w:val="single" w:sz="2" w:space="5" w:color="000000"/>
      </w:pBdr>
      <w:suppressAutoHyphens/>
      <w:spacing w:before="85" w:after="113" w:line="200" w:lineRule="atLeast"/>
    </w:pPr>
    <w:rPr>
      <w:rFonts w:ascii="FreightSans Pro Book" w:hAnsi="FreightSans Pro Book" w:cs="FreightSans Pro Book"/>
      <w:sz w:val="17"/>
      <w:szCs w:val="17"/>
    </w:rPr>
  </w:style>
  <w:style w:type="paragraph" w:customStyle="1" w:styleId="HeadingSubtitle4-CaseStudyRefs">
    <w:name w:val="Heading Subtitle 4 - Case Study Refs"/>
    <w:basedOn w:val="NoParagraphStyle"/>
    <w:uiPriority w:val="99"/>
    <w:pPr>
      <w:suppressAutoHyphens/>
      <w:spacing w:before="142"/>
    </w:pPr>
    <w:rPr>
      <w:rFonts w:ascii="FreightSans Pro Bold" w:hAnsi="FreightSans Pro Bold" w:cs="FreightSans Pro Bold"/>
      <w:b/>
      <w:bCs/>
      <w:color w:val="AA1E2D"/>
      <w:sz w:val="19"/>
      <w:szCs w:val="19"/>
    </w:rPr>
  </w:style>
  <w:style w:type="paragraph" w:customStyle="1" w:styleId="ReferencesText-CaseStudy">
    <w:name w:val="References Text - Case Study"/>
    <w:basedOn w:val="NoParagraphStyle"/>
    <w:uiPriority w:val="99"/>
    <w:pPr>
      <w:tabs>
        <w:tab w:val="left" w:pos="283"/>
        <w:tab w:val="left" w:pos="567"/>
      </w:tabs>
      <w:suppressAutoHyphens/>
      <w:spacing w:before="85" w:line="220" w:lineRule="atLeast"/>
    </w:pPr>
    <w:rPr>
      <w:rFonts w:ascii="FreightSans Pro Book" w:hAnsi="FreightSans Pro Book" w:cs="FreightSans Pro Book"/>
      <w:sz w:val="18"/>
      <w:szCs w:val="18"/>
    </w:rPr>
  </w:style>
  <w:style w:type="paragraph" w:customStyle="1" w:styleId="TableHeading1">
    <w:name w:val="Table Heading 1"/>
    <w:basedOn w:val="NoParagraphStyle"/>
    <w:uiPriority w:val="99"/>
    <w:pPr>
      <w:suppressAutoHyphens/>
      <w:spacing w:before="85" w:after="28"/>
    </w:pPr>
    <w:rPr>
      <w:rFonts w:ascii="FreightSans Pro Bold" w:hAnsi="FreightSans Pro Bold" w:cs="FreightSans Pro Bold"/>
      <w:b/>
      <w:bCs/>
      <w:color w:val="FFFFFF"/>
      <w:sz w:val="19"/>
      <w:szCs w:val="19"/>
    </w:rPr>
  </w:style>
  <w:style w:type="paragraph" w:customStyle="1" w:styleId="TableHeading1-Underline">
    <w:name w:val="Table Heading 1 - Underline"/>
    <w:basedOn w:val="NoParagraphStyle"/>
    <w:uiPriority w:val="99"/>
    <w:pPr>
      <w:pBdr>
        <w:bottom w:val="single" w:sz="2" w:space="4" w:color="000000"/>
      </w:pBdr>
      <w:suppressAutoHyphens/>
      <w:spacing w:before="85" w:after="28"/>
    </w:pPr>
    <w:rPr>
      <w:rFonts w:ascii="FreightSans Pro Bold" w:hAnsi="FreightSans Pro Bold" w:cs="FreightSans Pro Bold"/>
      <w:b/>
      <w:bCs/>
      <w:color w:val="FFFFFF"/>
      <w:sz w:val="19"/>
      <w:szCs w:val="19"/>
    </w:rPr>
  </w:style>
  <w:style w:type="paragraph" w:customStyle="1" w:styleId="HeadingSubtitle3-Pillars">
    <w:name w:val="Heading Subtitle 3 - Pillars"/>
    <w:basedOn w:val="NoParagraphStyle"/>
    <w:uiPriority w:val="99"/>
    <w:pPr>
      <w:tabs>
        <w:tab w:val="left" w:pos="113"/>
        <w:tab w:val="left" w:pos="1247"/>
      </w:tabs>
      <w:suppressAutoHyphens/>
      <w:spacing w:before="113" w:after="57" w:line="260" w:lineRule="atLeast"/>
    </w:pPr>
    <w:rPr>
      <w:rFonts w:ascii="FreightSans Pro Bold" w:hAnsi="FreightSans Pro Bold" w:cs="FreightSans Pro Bold"/>
      <w:b/>
      <w:bCs/>
      <w:color w:val="AA1E2D"/>
      <w:sz w:val="22"/>
      <w:szCs w:val="22"/>
    </w:rPr>
  </w:style>
  <w:style w:type="paragraph" w:customStyle="1" w:styleId="HeadingSubtitle3-PI1-red">
    <w:name w:val="Heading Subtitle 3 - PI 1 - red"/>
    <w:basedOn w:val="NoParagraphStyle"/>
    <w:uiPriority w:val="99"/>
    <w:pPr>
      <w:tabs>
        <w:tab w:val="left" w:pos="113"/>
        <w:tab w:val="left" w:pos="794"/>
      </w:tabs>
      <w:suppressAutoHyphens/>
      <w:spacing w:before="113" w:after="57" w:line="260" w:lineRule="atLeast"/>
    </w:pPr>
    <w:rPr>
      <w:rFonts w:ascii="FreightSans Pro Bold" w:hAnsi="FreightSans Pro Bold" w:cs="FreightSans Pro Bold"/>
      <w:b/>
      <w:bCs/>
      <w:color w:val="AA1E2D"/>
      <w:sz w:val="22"/>
      <w:szCs w:val="22"/>
    </w:rPr>
  </w:style>
  <w:style w:type="paragraph" w:customStyle="1" w:styleId="HeadingSubtitle2-PI1White">
    <w:name w:val="Heading Subtitle 2 - PI 1 White"/>
    <w:basedOn w:val="NoParagraphStyle"/>
    <w:uiPriority w:val="99"/>
    <w:pPr>
      <w:suppressAutoHyphens/>
      <w:spacing w:before="113" w:after="28" w:line="260" w:lineRule="atLeast"/>
    </w:pPr>
    <w:rPr>
      <w:rFonts w:ascii="FreightSans Pro Bold" w:hAnsi="FreightSans Pro Bold" w:cs="FreightSans Pro Bold"/>
      <w:b/>
      <w:bCs/>
      <w:color w:val="FFFFFF"/>
    </w:rPr>
  </w:style>
  <w:style w:type="paragraph" w:customStyle="1" w:styleId="Text-lessspaceafter">
    <w:name w:val="Text - less space after"/>
    <w:basedOn w:val="NoParagraphStyle"/>
    <w:uiPriority w:val="99"/>
    <w:pPr>
      <w:tabs>
        <w:tab w:val="left" w:pos="283"/>
        <w:tab w:val="left" w:pos="567"/>
      </w:tabs>
      <w:suppressAutoHyphens/>
      <w:spacing w:before="57" w:line="250" w:lineRule="atLeast"/>
    </w:pPr>
    <w:rPr>
      <w:rFonts w:ascii="FreightText Pro Book" w:hAnsi="FreightText Pro Book" w:cs="FreightText Pro Book"/>
      <w:sz w:val="20"/>
      <w:szCs w:val="20"/>
    </w:rPr>
  </w:style>
  <w:style w:type="paragraph" w:customStyle="1" w:styleId="TableTitleandnumber">
    <w:name w:val="Table Title and number"/>
    <w:basedOn w:val="NoParagraphStyle"/>
    <w:uiPriority w:val="99"/>
    <w:pPr>
      <w:suppressAutoHyphens/>
      <w:spacing w:before="85" w:after="113"/>
    </w:pPr>
    <w:rPr>
      <w:rFonts w:ascii="FreightText Pro Bold" w:hAnsi="FreightText Pro Bold" w:cs="FreightText Pro Bold"/>
      <w:b/>
      <w:bCs/>
      <w:sz w:val="20"/>
      <w:szCs w:val="20"/>
    </w:rPr>
  </w:style>
  <w:style w:type="paragraph" w:customStyle="1" w:styleId="TableText">
    <w:name w:val="Table Text"/>
    <w:basedOn w:val="NoParagraphStyle"/>
    <w:uiPriority w:val="99"/>
    <w:pPr>
      <w:tabs>
        <w:tab w:val="left" w:pos="227"/>
      </w:tabs>
      <w:suppressAutoHyphens/>
      <w:spacing w:before="57" w:after="28" w:line="200" w:lineRule="atLeast"/>
    </w:pPr>
    <w:rPr>
      <w:rFonts w:ascii="FreightSans Pro Medium" w:hAnsi="FreightSans Pro Medium" w:cs="FreightSans Pro Medium"/>
      <w:sz w:val="17"/>
      <w:szCs w:val="17"/>
    </w:rPr>
  </w:style>
  <w:style w:type="paragraph" w:customStyle="1" w:styleId="TableTextStocktake">
    <w:name w:val="Table Text Stocktake"/>
    <w:basedOn w:val="NoParagraphStyle"/>
    <w:uiPriority w:val="99"/>
    <w:pPr>
      <w:tabs>
        <w:tab w:val="left" w:pos="227"/>
      </w:tabs>
      <w:suppressAutoHyphens/>
      <w:spacing w:before="57" w:after="28" w:line="180" w:lineRule="atLeast"/>
    </w:pPr>
    <w:rPr>
      <w:rFonts w:ascii="FreightSans Pro Medium" w:hAnsi="FreightSans Pro Medium" w:cs="FreightSans Pro Medium"/>
      <w:sz w:val="16"/>
      <w:szCs w:val="16"/>
    </w:rPr>
  </w:style>
  <w:style w:type="character" w:customStyle="1" w:styleId="TextBold">
    <w:name w:val="Text Bold"/>
    <w:uiPriority w:val="99"/>
    <w:rPr>
      <w:rFonts w:ascii="FreightText Pro Bold" w:hAnsi="FreightText Pro Bold"/>
      <w:b/>
      <w:color w:val="000000"/>
      <w:sz w:val="20"/>
    </w:rPr>
  </w:style>
  <w:style w:type="character" w:customStyle="1" w:styleId="TextBullet">
    <w:name w:val="Text Bullet"/>
    <w:uiPriority w:val="99"/>
    <w:rPr>
      <w:rFonts w:ascii="FreightText Pro Book" w:hAnsi="FreightText Pro Book"/>
      <w:color w:val="AA1E2D"/>
      <w:sz w:val="20"/>
    </w:rPr>
  </w:style>
  <w:style w:type="character" w:customStyle="1" w:styleId="TextItalic">
    <w:name w:val="Text Italic"/>
    <w:uiPriority w:val="99"/>
    <w:rPr>
      <w:rFonts w:ascii="FreightText Pro Book" w:hAnsi="FreightText Pro Book"/>
      <w:i/>
      <w:color w:val="000000"/>
      <w:sz w:val="20"/>
    </w:rPr>
  </w:style>
  <w:style w:type="character" w:customStyle="1" w:styleId="CaseStudytextitalics">
    <w:name w:val="Case Study text italics"/>
    <w:uiPriority w:val="99"/>
    <w:rPr>
      <w:rFonts w:ascii="FreightSans Pro Book" w:hAnsi="FreightSans Pro Book"/>
      <w:i/>
      <w:sz w:val="20"/>
    </w:rPr>
  </w:style>
  <w:style w:type="character" w:customStyle="1" w:styleId="Captionscredititalics">
    <w:name w:val="Captions credit italics"/>
    <w:uiPriority w:val="99"/>
    <w:rPr>
      <w:rFonts w:ascii="FreightSans Pro Book" w:hAnsi="FreightSans Pro Book"/>
      <w:i/>
      <w:color w:val="000000"/>
      <w:sz w:val="17"/>
    </w:rPr>
  </w:style>
  <w:style w:type="character" w:customStyle="1" w:styleId="TabletextBold">
    <w:name w:val="Table text Bold"/>
    <w:uiPriority w:val="99"/>
    <w:rPr>
      <w:rFonts w:ascii="FreightSans Pro Bold" w:hAnsi="FreightSans Pro Bold"/>
      <w:b/>
      <w:color w:val="000000"/>
      <w:sz w:val="17"/>
    </w:rPr>
  </w:style>
  <w:style w:type="paragraph" w:styleId="Footer">
    <w:name w:val="footer"/>
    <w:basedOn w:val="Normal"/>
    <w:link w:val="FooterChar"/>
    <w:uiPriority w:val="99"/>
    <w:unhideWhenUsed/>
    <w:rsid w:val="00BC5284"/>
    <w:pPr>
      <w:tabs>
        <w:tab w:val="center" w:pos="4680"/>
        <w:tab w:val="right" w:pos="9360"/>
      </w:tabs>
    </w:pPr>
  </w:style>
  <w:style w:type="character" w:customStyle="1" w:styleId="FooterChar">
    <w:name w:val="Footer Char"/>
    <w:link w:val="Footer"/>
    <w:uiPriority w:val="99"/>
    <w:locked/>
    <w:rsid w:val="00BC5284"/>
    <w:rPr>
      <w:rFonts w:cs="Times New Roman"/>
    </w:rPr>
  </w:style>
  <w:style w:type="character" w:styleId="PageNumber">
    <w:name w:val="page number"/>
    <w:uiPriority w:val="99"/>
    <w:semiHidden/>
    <w:unhideWhenUsed/>
    <w:rsid w:val="00BC5284"/>
    <w:rPr>
      <w:rFonts w:cs="Times New Roman"/>
    </w:rPr>
  </w:style>
  <w:style w:type="paragraph" w:styleId="FootnoteText">
    <w:name w:val="footnote text"/>
    <w:basedOn w:val="Normal"/>
    <w:link w:val="FootnoteTextChar"/>
    <w:uiPriority w:val="99"/>
    <w:semiHidden/>
    <w:unhideWhenUsed/>
    <w:rsid w:val="0028510D"/>
    <w:rPr>
      <w:sz w:val="20"/>
      <w:szCs w:val="20"/>
    </w:rPr>
  </w:style>
  <w:style w:type="character" w:customStyle="1" w:styleId="FootnoteTextChar">
    <w:name w:val="Footnote Text Char"/>
    <w:link w:val="FootnoteText"/>
    <w:uiPriority w:val="99"/>
    <w:semiHidden/>
    <w:locked/>
    <w:rsid w:val="0028510D"/>
    <w:rPr>
      <w:rFonts w:cs="Times New Roman"/>
    </w:rPr>
  </w:style>
  <w:style w:type="character" w:styleId="FootnoteReference">
    <w:name w:val="footnote reference"/>
    <w:uiPriority w:val="99"/>
    <w:semiHidden/>
    <w:unhideWhenUsed/>
    <w:rsid w:val="0028510D"/>
    <w:rPr>
      <w:rFonts w:cs="Times New Roman"/>
      <w:vertAlign w:val="superscript"/>
    </w:rPr>
  </w:style>
  <w:style w:type="paragraph" w:styleId="Header">
    <w:name w:val="header"/>
    <w:basedOn w:val="Normal"/>
    <w:link w:val="HeaderChar"/>
    <w:uiPriority w:val="99"/>
    <w:unhideWhenUsed/>
    <w:rsid w:val="007013DF"/>
    <w:pPr>
      <w:tabs>
        <w:tab w:val="center" w:pos="4513"/>
        <w:tab w:val="right" w:pos="9026"/>
      </w:tabs>
    </w:pPr>
  </w:style>
  <w:style w:type="character" w:customStyle="1" w:styleId="HeaderChar">
    <w:name w:val="Header Char"/>
    <w:basedOn w:val="DefaultParagraphFont"/>
    <w:link w:val="Header"/>
    <w:uiPriority w:val="99"/>
    <w:rsid w:val="007013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34002</Words>
  <Characters>193813</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Michelle Glynn (DELWP)</cp:lastModifiedBy>
  <cp:revision>3</cp:revision>
  <cp:lastPrinted>2020-08-24T01:55:00Z</cp:lastPrinted>
  <dcterms:created xsi:type="dcterms:W3CDTF">2020-08-24T02:42:00Z</dcterms:created>
  <dcterms:modified xsi:type="dcterms:W3CDTF">2020-10-21T09:44:00Z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2020-10-21T09:43:57Z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5894ae33-95a8-4d11-9bba-b690d3ebaaea</vt:lpwstr>
  </property>
  <property fmtid="{D5CDD505-2E9C-101B-9397-08002B2CF9AE}" pid="8" name="MSIP_Label_4257e2ab-f512-40e2-9c9a-c64247360765_ContentBits">
    <vt:lpwstr>2</vt:lpwstr>
  </property>
</Properties>
</file>